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5ADCC" w14:textId="77777777" w:rsidR="00B24B9A" w:rsidRPr="00E44536" w:rsidRDefault="00B24B9A" w:rsidP="00AC49D8">
      <w:pPr>
        <w:pStyle w:val="PargrafodaLista"/>
        <w:spacing w:after="120" w:line="360" w:lineRule="auto"/>
        <w:ind w:left="0" w:firstLine="709"/>
        <w:contextualSpacing w:val="0"/>
        <w:rPr>
          <w:rFonts w:ascii="Times New Roman" w:hAnsi="Times New Roman"/>
          <w:sz w:val="24"/>
          <w:szCs w:val="24"/>
        </w:rPr>
      </w:pPr>
    </w:p>
    <w:p w14:paraId="7FDA5099" w14:textId="77777777" w:rsidR="00B24B9A" w:rsidRPr="00E44536" w:rsidRDefault="00B24B9A" w:rsidP="00AC49D8">
      <w:pPr>
        <w:pStyle w:val="PargrafodaLista"/>
        <w:spacing w:after="120" w:line="360" w:lineRule="auto"/>
        <w:ind w:left="0" w:firstLine="709"/>
        <w:contextualSpacing w:val="0"/>
        <w:rPr>
          <w:rFonts w:ascii="Times New Roman" w:hAnsi="Times New Roman"/>
          <w:sz w:val="24"/>
          <w:szCs w:val="24"/>
        </w:rPr>
      </w:pPr>
    </w:p>
    <w:p w14:paraId="099D13D7" w14:textId="03674FED" w:rsidR="00B24B9A" w:rsidRPr="00E44536" w:rsidRDefault="00B24B9A" w:rsidP="00AC49D8">
      <w:pPr>
        <w:pStyle w:val="PargrafodaLista"/>
        <w:spacing w:after="120" w:line="360" w:lineRule="auto"/>
        <w:ind w:left="0" w:firstLine="709"/>
        <w:contextualSpacing w:val="0"/>
        <w:rPr>
          <w:rFonts w:ascii="Times New Roman" w:hAnsi="Times New Roman"/>
          <w:sz w:val="44"/>
          <w:szCs w:val="24"/>
        </w:rPr>
      </w:pPr>
    </w:p>
    <w:p w14:paraId="4EBBF9F7" w14:textId="77777777" w:rsidR="00B24B9A" w:rsidRPr="00E44536" w:rsidRDefault="00B24B9A" w:rsidP="00AC49D8">
      <w:pPr>
        <w:pStyle w:val="PargrafodaLista"/>
        <w:spacing w:after="120" w:line="360" w:lineRule="auto"/>
        <w:ind w:left="0" w:firstLine="709"/>
        <w:contextualSpacing w:val="0"/>
        <w:rPr>
          <w:rFonts w:ascii="Times New Roman" w:hAnsi="Times New Roman"/>
          <w:sz w:val="44"/>
          <w:szCs w:val="24"/>
        </w:rPr>
      </w:pPr>
    </w:p>
    <w:p w14:paraId="7AD10390" w14:textId="3F82A479" w:rsidR="00B24B9A" w:rsidRPr="00E44536" w:rsidRDefault="00B24B9A" w:rsidP="00AC49D8">
      <w:pPr>
        <w:pStyle w:val="PargrafodaLista"/>
        <w:spacing w:after="120" w:line="360" w:lineRule="auto"/>
        <w:ind w:left="0" w:firstLine="709"/>
        <w:contextualSpacing w:val="0"/>
        <w:rPr>
          <w:rFonts w:ascii="Times New Roman" w:hAnsi="Times New Roman"/>
          <w:sz w:val="44"/>
          <w:szCs w:val="24"/>
        </w:rPr>
      </w:pPr>
    </w:p>
    <w:p w14:paraId="09A9D665" w14:textId="77777777" w:rsidR="00E44536" w:rsidRPr="00E44536" w:rsidRDefault="00E44536" w:rsidP="00AC49D8">
      <w:pPr>
        <w:pStyle w:val="PargrafodaLista"/>
        <w:spacing w:after="120" w:line="360" w:lineRule="auto"/>
        <w:ind w:left="0"/>
        <w:jc w:val="center"/>
        <w:rPr>
          <w:rFonts w:ascii="Times New Roman" w:hAnsi="Times New Roman"/>
          <w:sz w:val="40"/>
          <w:szCs w:val="24"/>
        </w:rPr>
      </w:pPr>
      <w:r w:rsidRPr="00E44536">
        <w:rPr>
          <w:rFonts w:ascii="Times New Roman" w:hAnsi="Times New Roman"/>
          <w:sz w:val="40"/>
          <w:szCs w:val="24"/>
        </w:rPr>
        <w:t>OS DESAFIOS DO DESENVOLVIMENTO ECONÔMICO DA REGIÃO SUL DO BRASIL E A CENTRALIDADE DA QUESTÃO LOGÍSTICA:</w:t>
      </w:r>
    </w:p>
    <w:p w14:paraId="38132553" w14:textId="77777777" w:rsidR="00E44536" w:rsidRPr="00E44536" w:rsidRDefault="00E44536" w:rsidP="00AC49D8">
      <w:pPr>
        <w:pStyle w:val="PargrafodaLista"/>
        <w:spacing w:after="120" w:line="360" w:lineRule="auto"/>
        <w:ind w:left="0"/>
        <w:jc w:val="center"/>
        <w:rPr>
          <w:rFonts w:ascii="Times New Roman" w:hAnsi="Times New Roman"/>
          <w:sz w:val="40"/>
          <w:szCs w:val="24"/>
        </w:rPr>
      </w:pPr>
    </w:p>
    <w:p w14:paraId="65E38638" w14:textId="53928C09" w:rsidR="00B24B9A" w:rsidRPr="00E44536" w:rsidRDefault="00E44536" w:rsidP="00AC49D8">
      <w:pPr>
        <w:pStyle w:val="PargrafodaLista"/>
        <w:spacing w:after="120" w:line="360" w:lineRule="auto"/>
        <w:ind w:left="0"/>
        <w:contextualSpacing w:val="0"/>
        <w:jc w:val="center"/>
        <w:rPr>
          <w:rFonts w:ascii="Times New Roman" w:hAnsi="Times New Roman"/>
          <w:sz w:val="36"/>
          <w:szCs w:val="24"/>
        </w:rPr>
      </w:pPr>
      <w:r w:rsidRPr="00E44536">
        <w:rPr>
          <w:rFonts w:ascii="Times New Roman" w:hAnsi="Times New Roman"/>
          <w:sz w:val="36"/>
          <w:szCs w:val="24"/>
        </w:rPr>
        <w:t xml:space="preserve">SEMINÁRIO ABDE-BRDE – 29 DE </w:t>
      </w:r>
      <w:proofErr w:type="gramStart"/>
      <w:r w:rsidRPr="00E44536">
        <w:rPr>
          <w:rFonts w:ascii="Times New Roman" w:hAnsi="Times New Roman"/>
          <w:sz w:val="36"/>
          <w:szCs w:val="24"/>
        </w:rPr>
        <w:t>JUNHO</w:t>
      </w:r>
      <w:proofErr w:type="gramEnd"/>
      <w:r w:rsidRPr="00E44536">
        <w:rPr>
          <w:rFonts w:ascii="Times New Roman" w:hAnsi="Times New Roman"/>
          <w:sz w:val="36"/>
          <w:szCs w:val="24"/>
        </w:rPr>
        <w:t xml:space="preserve"> DE 2018 – CURITIBA-PR</w:t>
      </w:r>
    </w:p>
    <w:p w14:paraId="7B27D981" w14:textId="77777777" w:rsidR="008A79BB" w:rsidRPr="00E44536" w:rsidRDefault="008A79BB" w:rsidP="00AC49D8">
      <w:pPr>
        <w:pStyle w:val="PargrafodaLista"/>
        <w:spacing w:after="120" w:line="360" w:lineRule="auto"/>
        <w:ind w:left="0" w:firstLine="709"/>
        <w:contextualSpacing w:val="0"/>
        <w:jc w:val="right"/>
        <w:rPr>
          <w:rFonts w:ascii="Times New Roman" w:hAnsi="Times New Roman"/>
          <w:sz w:val="36"/>
          <w:szCs w:val="24"/>
        </w:rPr>
      </w:pPr>
    </w:p>
    <w:p w14:paraId="6EB55444" w14:textId="59F73136" w:rsidR="00B24B9A" w:rsidRPr="00E44536" w:rsidRDefault="008A79BB" w:rsidP="00AC49D8">
      <w:pPr>
        <w:pStyle w:val="PargrafodaLista"/>
        <w:spacing w:after="120" w:line="360" w:lineRule="auto"/>
        <w:ind w:left="0" w:firstLine="709"/>
        <w:contextualSpacing w:val="0"/>
        <w:jc w:val="right"/>
        <w:rPr>
          <w:rFonts w:ascii="Times New Roman" w:hAnsi="Times New Roman"/>
          <w:sz w:val="36"/>
          <w:szCs w:val="24"/>
        </w:rPr>
      </w:pPr>
      <w:r w:rsidRPr="00E44536">
        <w:rPr>
          <w:rFonts w:ascii="Times New Roman" w:hAnsi="Times New Roman"/>
          <w:sz w:val="36"/>
          <w:szCs w:val="24"/>
        </w:rPr>
        <w:t xml:space="preserve">Carlos </w:t>
      </w:r>
      <w:proofErr w:type="spellStart"/>
      <w:r w:rsidRPr="00E44536">
        <w:rPr>
          <w:rFonts w:ascii="Times New Roman" w:hAnsi="Times New Roman"/>
          <w:sz w:val="36"/>
          <w:szCs w:val="24"/>
        </w:rPr>
        <w:t>Águedo</w:t>
      </w:r>
      <w:proofErr w:type="spellEnd"/>
      <w:r w:rsidRPr="00E44536">
        <w:rPr>
          <w:rFonts w:ascii="Times New Roman" w:hAnsi="Times New Roman"/>
          <w:sz w:val="36"/>
          <w:szCs w:val="24"/>
        </w:rPr>
        <w:t xml:space="preserve"> Paiva</w:t>
      </w:r>
    </w:p>
    <w:p w14:paraId="59F1187D" w14:textId="362C1CC0" w:rsidR="00B24B9A" w:rsidRPr="00E44536" w:rsidRDefault="00B24B9A" w:rsidP="00AC49D8">
      <w:pPr>
        <w:pStyle w:val="PargrafodaLista"/>
        <w:spacing w:after="120" w:line="360" w:lineRule="auto"/>
        <w:ind w:left="0" w:firstLine="709"/>
        <w:contextualSpacing w:val="0"/>
        <w:rPr>
          <w:rFonts w:ascii="Times New Roman" w:hAnsi="Times New Roman"/>
          <w:sz w:val="44"/>
          <w:szCs w:val="24"/>
        </w:rPr>
      </w:pPr>
    </w:p>
    <w:p w14:paraId="5557C1FF" w14:textId="22BA4215" w:rsidR="00B24B9A" w:rsidRPr="00E44536" w:rsidRDefault="00B24B9A" w:rsidP="00AC49D8">
      <w:pPr>
        <w:pStyle w:val="PargrafodaLista"/>
        <w:spacing w:after="120" w:line="360" w:lineRule="auto"/>
        <w:ind w:left="0" w:firstLine="709"/>
        <w:contextualSpacing w:val="0"/>
        <w:rPr>
          <w:rFonts w:ascii="Times New Roman" w:hAnsi="Times New Roman"/>
          <w:sz w:val="44"/>
          <w:szCs w:val="24"/>
        </w:rPr>
      </w:pPr>
    </w:p>
    <w:p w14:paraId="5E85EF6D" w14:textId="533F1398" w:rsidR="00B24B9A" w:rsidRPr="00E44536" w:rsidRDefault="00B24B9A" w:rsidP="00AC49D8">
      <w:pPr>
        <w:pStyle w:val="PargrafodaLista"/>
        <w:spacing w:after="120" w:line="360" w:lineRule="auto"/>
        <w:ind w:left="0" w:firstLine="709"/>
        <w:contextualSpacing w:val="0"/>
        <w:rPr>
          <w:rFonts w:ascii="Times New Roman" w:hAnsi="Times New Roman"/>
          <w:sz w:val="44"/>
          <w:szCs w:val="24"/>
        </w:rPr>
      </w:pPr>
    </w:p>
    <w:p w14:paraId="35DF96BF" w14:textId="3D6EB7D4" w:rsidR="00B24B9A" w:rsidRPr="00E44536" w:rsidRDefault="00B24B9A" w:rsidP="00AC49D8">
      <w:pPr>
        <w:pStyle w:val="PargrafodaLista"/>
        <w:spacing w:after="120" w:line="360" w:lineRule="auto"/>
        <w:ind w:left="0" w:firstLine="709"/>
        <w:contextualSpacing w:val="0"/>
        <w:rPr>
          <w:rFonts w:ascii="Times New Roman" w:hAnsi="Times New Roman"/>
          <w:sz w:val="44"/>
          <w:szCs w:val="24"/>
        </w:rPr>
      </w:pPr>
    </w:p>
    <w:p w14:paraId="094728D6" w14:textId="77777777" w:rsidR="00AC49D8" w:rsidRDefault="00AC49D8" w:rsidP="00AC49D8">
      <w:pPr>
        <w:spacing w:after="120" w:line="360" w:lineRule="auto"/>
        <w:ind w:firstLine="709"/>
        <w:jc w:val="both"/>
        <w:rPr>
          <w:rFonts w:ascii="Times New Roman" w:hAnsi="Times New Roman"/>
          <w:b/>
          <w:sz w:val="24"/>
          <w:szCs w:val="24"/>
        </w:rPr>
      </w:pPr>
    </w:p>
    <w:p w14:paraId="769C13A1" w14:textId="77777777" w:rsidR="00E44536" w:rsidRPr="00E44536" w:rsidRDefault="00E44536" w:rsidP="00AC49D8">
      <w:pPr>
        <w:spacing w:after="120" w:line="360" w:lineRule="auto"/>
        <w:ind w:firstLine="709"/>
        <w:jc w:val="both"/>
        <w:rPr>
          <w:rFonts w:ascii="Times New Roman" w:hAnsi="Times New Roman"/>
          <w:b/>
          <w:sz w:val="24"/>
          <w:szCs w:val="24"/>
        </w:rPr>
      </w:pPr>
      <w:r w:rsidRPr="00E44536">
        <w:rPr>
          <w:rFonts w:ascii="Times New Roman" w:hAnsi="Times New Roman"/>
          <w:b/>
          <w:sz w:val="24"/>
          <w:szCs w:val="24"/>
        </w:rPr>
        <w:lastRenderedPageBreak/>
        <w:t>1. Introdução</w:t>
      </w:r>
    </w:p>
    <w:p w14:paraId="5CAA0F08"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O objetivo deste trabalho é analisar os desafios logísticos impostos ao desenvolvimento da Região Sul do Brasil a partir de uma leitura acerca de seu potencial de inserção competitiva na economia nacional e mundial. </w:t>
      </w:r>
    </w:p>
    <w:p w14:paraId="030F9661"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A hipótese que defendemos é de que, no </w:t>
      </w:r>
      <w:r w:rsidRPr="00E44536">
        <w:rPr>
          <w:rFonts w:ascii="Times New Roman" w:hAnsi="Times New Roman"/>
          <w:b/>
          <w:sz w:val="24"/>
          <w:szCs w:val="24"/>
        </w:rPr>
        <w:t>curto</w:t>
      </w:r>
      <w:r w:rsidRPr="00E44536">
        <w:rPr>
          <w:rFonts w:ascii="Times New Roman" w:hAnsi="Times New Roman"/>
          <w:sz w:val="24"/>
          <w:szCs w:val="24"/>
        </w:rPr>
        <w:t xml:space="preserve"> prazo, a depressão dos custos de transporte </w:t>
      </w:r>
      <w:r w:rsidRPr="00E44536">
        <w:rPr>
          <w:rFonts w:ascii="Times New Roman" w:hAnsi="Times New Roman"/>
          <w:b/>
          <w:sz w:val="24"/>
          <w:szCs w:val="24"/>
        </w:rPr>
        <w:t>rodoviário</w:t>
      </w:r>
      <w:r w:rsidRPr="00E44536">
        <w:rPr>
          <w:rFonts w:ascii="Times New Roman" w:hAnsi="Times New Roman"/>
          <w:sz w:val="24"/>
          <w:szCs w:val="24"/>
        </w:rPr>
        <w:t xml:space="preserve"> é a forma mais eficiente de deprimir os custos logísticos e ampliar os ganhos dos elos a montante das principais cadeias produtivas propulsivas da região. Acreditamos que esta depressão urge, podendo e devendo ser operacionalizada com a maior brevidade, antes mesmo que modais solidário-concorrentes (ferroviário, hidroviário e aeroviário) passem pelo processo de investimento e modernização amplamente demandados pelos produtores usuários de serviços logísticos. </w:t>
      </w:r>
    </w:p>
    <w:p w14:paraId="0808AD02"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Para que se entenda nossa proposta de hierarquia de ações é preciso entender o sistema de formação de preços e custos nos distintos modais de transporte. Como os transportadores e as firmas concessionárias da administração das rodovias formam seus preços? É possível reduzir estes preços? Como? Estas questões devem nortear toda a estratégia de </w:t>
      </w:r>
      <w:r w:rsidRPr="00E44536">
        <w:rPr>
          <w:rFonts w:ascii="Times New Roman" w:hAnsi="Times New Roman"/>
          <w:b/>
          <w:sz w:val="24"/>
          <w:szCs w:val="24"/>
        </w:rPr>
        <w:t>curto</w:t>
      </w:r>
      <w:r w:rsidRPr="00E44536">
        <w:rPr>
          <w:rFonts w:ascii="Times New Roman" w:hAnsi="Times New Roman"/>
          <w:sz w:val="24"/>
          <w:szCs w:val="24"/>
        </w:rPr>
        <w:t xml:space="preserve"> e </w:t>
      </w:r>
      <w:r w:rsidRPr="00E44536">
        <w:rPr>
          <w:rFonts w:ascii="Times New Roman" w:hAnsi="Times New Roman"/>
          <w:b/>
          <w:sz w:val="24"/>
          <w:szCs w:val="24"/>
        </w:rPr>
        <w:t>médio</w:t>
      </w:r>
      <w:r w:rsidRPr="00E44536">
        <w:rPr>
          <w:rFonts w:ascii="Times New Roman" w:hAnsi="Times New Roman"/>
          <w:sz w:val="24"/>
          <w:szCs w:val="24"/>
        </w:rPr>
        <w:t xml:space="preserve"> </w:t>
      </w:r>
      <w:r w:rsidRPr="00E44536">
        <w:rPr>
          <w:rFonts w:ascii="Times New Roman" w:hAnsi="Times New Roman"/>
          <w:b/>
          <w:sz w:val="24"/>
          <w:szCs w:val="24"/>
        </w:rPr>
        <w:t>prazo</w:t>
      </w:r>
      <w:r w:rsidRPr="00E44536">
        <w:rPr>
          <w:rFonts w:ascii="Times New Roman" w:hAnsi="Times New Roman"/>
          <w:sz w:val="24"/>
          <w:szCs w:val="24"/>
        </w:rPr>
        <w:t>.</w:t>
      </w:r>
    </w:p>
    <w:p w14:paraId="4FE1C7D2"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No </w:t>
      </w:r>
      <w:r w:rsidRPr="00E44536">
        <w:rPr>
          <w:rFonts w:ascii="Times New Roman" w:hAnsi="Times New Roman"/>
          <w:b/>
          <w:sz w:val="24"/>
          <w:szCs w:val="24"/>
        </w:rPr>
        <w:t>médio e longo prazos</w:t>
      </w:r>
      <w:r w:rsidRPr="00E44536">
        <w:rPr>
          <w:rFonts w:ascii="Times New Roman" w:hAnsi="Times New Roman"/>
          <w:sz w:val="24"/>
          <w:szCs w:val="24"/>
        </w:rPr>
        <w:t xml:space="preserve">, deve-se buscar a ampliação e a qualificação dos serviços de transporte dos dois principais modais alternativos, de menor custo por unidade carga: o </w:t>
      </w:r>
      <w:r w:rsidRPr="00E44536">
        <w:rPr>
          <w:rFonts w:ascii="Times New Roman" w:hAnsi="Times New Roman"/>
          <w:b/>
          <w:sz w:val="24"/>
          <w:szCs w:val="24"/>
        </w:rPr>
        <w:t>ferroviário</w:t>
      </w:r>
      <w:r w:rsidRPr="00E44536">
        <w:rPr>
          <w:rFonts w:ascii="Times New Roman" w:hAnsi="Times New Roman"/>
          <w:sz w:val="24"/>
          <w:szCs w:val="24"/>
        </w:rPr>
        <w:t xml:space="preserve"> e o </w:t>
      </w:r>
      <w:r w:rsidRPr="00E44536">
        <w:rPr>
          <w:rFonts w:ascii="Times New Roman" w:hAnsi="Times New Roman"/>
          <w:b/>
          <w:sz w:val="24"/>
          <w:szCs w:val="24"/>
        </w:rPr>
        <w:t>hidroviário</w:t>
      </w:r>
      <w:r w:rsidRPr="00E44536">
        <w:rPr>
          <w:rFonts w:ascii="Times New Roman" w:hAnsi="Times New Roman"/>
          <w:sz w:val="24"/>
          <w:szCs w:val="24"/>
        </w:rPr>
        <w:t xml:space="preserve">. Além de mais econômicos, estes modais, ao se articularem de forma competitiva com o modal rodoviário, pressionam pela queda de preço neste último modal (e vice-versa). Esta concorrência é particularmente importante para a depressão expressiva e sistemática das tarifas de pedágio. </w:t>
      </w:r>
    </w:p>
    <w:p w14:paraId="23BBA690"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Do nosso ponto de vista, esta é a estratégia mais eficiente, eficaz e efetiva para a redução dos elevados custos de transporte que deprimem a rentabilidade do produtor e a competitividade brasileira no mercado mundial de forma geral em nosso país. Mas a intervenção pública e social sobre o desenvolvimento da malha de transportes deve ser balizada pelas características específicas da produção de cada região. E esta especialização produtiva não é estanque, mas se altera ao longo do tempo. O que, por sua vez, passa pelo planejamento da inserção produtiva regional. Ou, para ser mais claro: as distintas </w:t>
      </w:r>
      <w:proofErr w:type="spellStart"/>
      <w:r w:rsidRPr="00E44536">
        <w:rPr>
          <w:rFonts w:ascii="Times New Roman" w:hAnsi="Times New Roman"/>
          <w:sz w:val="24"/>
          <w:szCs w:val="24"/>
        </w:rPr>
        <w:t>responsividades</w:t>
      </w:r>
      <w:proofErr w:type="spellEnd"/>
      <w:r w:rsidRPr="00E44536">
        <w:rPr>
          <w:rFonts w:ascii="Times New Roman" w:hAnsi="Times New Roman"/>
          <w:sz w:val="24"/>
          <w:szCs w:val="24"/>
        </w:rPr>
        <w:t xml:space="preserve"> dos distintos modais às demandas de alargamento de seus </w:t>
      </w:r>
      <w:r w:rsidRPr="00E44536">
        <w:rPr>
          <w:rFonts w:ascii="Times New Roman" w:hAnsi="Times New Roman"/>
          <w:sz w:val="24"/>
          <w:szCs w:val="24"/>
        </w:rPr>
        <w:lastRenderedPageBreak/>
        <w:t xml:space="preserve">gargalos de oferta no curto, médio e longo prazo definem a priorização de investimentos públicos em infraestrutura logística num plano muito geral. Este plano geral tem que ser balizado pelas peculiaridades da produção a ser transportada em cada região. </w:t>
      </w:r>
    </w:p>
    <w:p w14:paraId="70F1A05A"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Com vistas a enfrentar estes dois temas </w:t>
      </w:r>
      <w:proofErr w:type="gramStart"/>
      <w:r w:rsidRPr="00E44536">
        <w:rPr>
          <w:rFonts w:ascii="Times New Roman" w:hAnsi="Times New Roman"/>
          <w:sz w:val="24"/>
          <w:szCs w:val="24"/>
        </w:rPr>
        <w:t>articulados</w:t>
      </w:r>
      <w:proofErr w:type="gramEnd"/>
      <w:r w:rsidRPr="00E44536">
        <w:rPr>
          <w:rFonts w:ascii="Times New Roman" w:hAnsi="Times New Roman"/>
          <w:sz w:val="24"/>
          <w:szCs w:val="24"/>
        </w:rPr>
        <w:t xml:space="preserve"> mas portadores de lógica e determinações próprias, dividimos este trabalho em duas partes. Na primeira, tratamos do processo de formação de preços nos distintos modais de transporte. Aqui, buscamos demonstrar que é </w:t>
      </w:r>
      <w:proofErr w:type="gramStart"/>
      <w:r w:rsidRPr="00E44536">
        <w:rPr>
          <w:rFonts w:ascii="Times New Roman" w:hAnsi="Times New Roman"/>
          <w:sz w:val="24"/>
          <w:szCs w:val="24"/>
        </w:rPr>
        <w:t>necessário uma estratégia</w:t>
      </w:r>
      <w:proofErr w:type="gramEnd"/>
      <w:r w:rsidRPr="00E44536">
        <w:rPr>
          <w:rFonts w:ascii="Times New Roman" w:hAnsi="Times New Roman"/>
          <w:sz w:val="24"/>
          <w:szCs w:val="24"/>
        </w:rPr>
        <w:t xml:space="preserve"> de operação em que solidariedade e concorrência-contestabilidade de preços mostre-se eficaz na depressão de preços para os usuários. </w:t>
      </w:r>
    </w:p>
    <w:p w14:paraId="00A185D3"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Na segunda parte do trabalho, apresentamos a estrutura produtiva atual da Região Sul do Brasil e apontamos para aquelas cadeias com maior potencial de desenvolvimento em termos de mercado e agregação de valor. </w:t>
      </w:r>
    </w:p>
    <w:p w14:paraId="4F979D22"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Na conclusão, buscamos apontar para algumas hipóteses acerca da relação entre estrutura viária, especialização e desenvolvimento da Região Sul do Brasil. O aprofundamento deste tema, envolveria toda uma outra pesquisa. Aqui, buscamos tão somente traçar um diagnóstico da realidade atual e apontar alternativas. </w:t>
      </w:r>
    </w:p>
    <w:p w14:paraId="06740503" w14:textId="77777777" w:rsidR="00E44536" w:rsidRPr="00E44536" w:rsidRDefault="00E44536" w:rsidP="00AC49D8">
      <w:pPr>
        <w:spacing w:after="120" w:line="360" w:lineRule="auto"/>
        <w:ind w:firstLine="709"/>
        <w:jc w:val="both"/>
        <w:rPr>
          <w:rFonts w:ascii="Times New Roman" w:hAnsi="Times New Roman"/>
          <w:sz w:val="24"/>
          <w:szCs w:val="24"/>
        </w:rPr>
      </w:pPr>
    </w:p>
    <w:p w14:paraId="2BF0F2FF" w14:textId="77777777" w:rsidR="00E44536" w:rsidRPr="00E44536" w:rsidRDefault="00E44536" w:rsidP="00AC49D8">
      <w:pPr>
        <w:spacing w:after="120" w:line="360" w:lineRule="auto"/>
        <w:ind w:firstLine="709"/>
        <w:jc w:val="both"/>
        <w:rPr>
          <w:rFonts w:ascii="Times New Roman" w:hAnsi="Times New Roman"/>
          <w:b/>
          <w:sz w:val="24"/>
          <w:szCs w:val="24"/>
        </w:rPr>
      </w:pPr>
      <w:r w:rsidRPr="00E44536">
        <w:rPr>
          <w:rFonts w:ascii="Times New Roman" w:hAnsi="Times New Roman"/>
          <w:b/>
          <w:sz w:val="24"/>
          <w:szCs w:val="24"/>
        </w:rPr>
        <w:t>2. A formação de preços nos distintos Modais de Transporte: Concorrência e Integração das Malhas Rodoviária, Ferroviária, Hidroviária e Aeroviária</w:t>
      </w:r>
    </w:p>
    <w:p w14:paraId="55A6EF3C"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Os cinco modais de transporte de mercadorias são: rodoviário, ferroviário, hidroviário, aeroviário e </w:t>
      </w:r>
      <w:proofErr w:type="spellStart"/>
      <w:r w:rsidRPr="00E44536">
        <w:rPr>
          <w:rFonts w:ascii="Times New Roman" w:hAnsi="Times New Roman"/>
          <w:sz w:val="24"/>
          <w:szCs w:val="24"/>
        </w:rPr>
        <w:t>dutoviário</w:t>
      </w:r>
      <w:proofErr w:type="spellEnd"/>
      <w:r w:rsidRPr="00E44536">
        <w:rPr>
          <w:rFonts w:ascii="Times New Roman" w:hAnsi="Times New Roman"/>
          <w:sz w:val="24"/>
          <w:szCs w:val="24"/>
        </w:rPr>
        <w:t xml:space="preserve">. Tendo em vista a maior circunscrição de materiais passíveis de movimentação no modal </w:t>
      </w:r>
      <w:proofErr w:type="spellStart"/>
      <w:r w:rsidRPr="00E44536">
        <w:rPr>
          <w:rFonts w:ascii="Times New Roman" w:hAnsi="Times New Roman"/>
          <w:sz w:val="24"/>
          <w:szCs w:val="24"/>
        </w:rPr>
        <w:t>dutoviário</w:t>
      </w:r>
      <w:proofErr w:type="spellEnd"/>
      <w:r w:rsidRPr="00E44536">
        <w:rPr>
          <w:rFonts w:ascii="Times New Roman" w:hAnsi="Times New Roman"/>
          <w:sz w:val="24"/>
          <w:szCs w:val="24"/>
        </w:rPr>
        <w:t xml:space="preserve"> e sua pequena expressão relativa na matriz de transporte nacional, restringiremos a análise do processo de formação de preços aos quatro primeiros modais. Os padrões de precificação dos quatro principais modais se diferenciam por dois critérios básicos: </w:t>
      </w:r>
    </w:p>
    <w:p w14:paraId="0034BF65" w14:textId="77777777" w:rsidR="00E44536" w:rsidRPr="00E44536" w:rsidRDefault="00E44536" w:rsidP="00AC49D8">
      <w:pPr>
        <w:pStyle w:val="PargrafodaLista"/>
        <w:numPr>
          <w:ilvl w:val="0"/>
          <w:numId w:val="6"/>
        </w:numPr>
        <w:spacing w:after="120" w:line="360" w:lineRule="auto"/>
        <w:ind w:left="0" w:firstLine="709"/>
        <w:jc w:val="both"/>
        <w:rPr>
          <w:rFonts w:ascii="Times New Roman" w:hAnsi="Times New Roman"/>
          <w:sz w:val="24"/>
          <w:szCs w:val="24"/>
        </w:rPr>
      </w:pPr>
      <w:proofErr w:type="gramStart"/>
      <w:r w:rsidRPr="00E44536">
        <w:rPr>
          <w:rFonts w:ascii="Times New Roman" w:hAnsi="Times New Roman"/>
          <w:sz w:val="24"/>
          <w:szCs w:val="24"/>
        </w:rPr>
        <w:t>pelo</w:t>
      </w:r>
      <w:proofErr w:type="gramEnd"/>
      <w:r w:rsidRPr="00E44536">
        <w:rPr>
          <w:rFonts w:ascii="Times New Roman" w:hAnsi="Times New Roman"/>
          <w:sz w:val="24"/>
          <w:szCs w:val="24"/>
        </w:rPr>
        <w:t xml:space="preserve"> peso relativo dos custos fixos e dos custos variáveis na prestação do serviço logístico;</w:t>
      </w:r>
    </w:p>
    <w:p w14:paraId="029F3D11" w14:textId="77777777" w:rsidR="00E44536" w:rsidRPr="00E44536" w:rsidRDefault="00E44536" w:rsidP="00AC49D8">
      <w:pPr>
        <w:pStyle w:val="PargrafodaLista"/>
        <w:numPr>
          <w:ilvl w:val="0"/>
          <w:numId w:val="6"/>
        </w:numPr>
        <w:spacing w:after="120" w:line="360" w:lineRule="auto"/>
        <w:ind w:left="0" w:firstLine="709"/>
        <w:jc w:val="both"/>
        <w:rPr>
          <w:rFonts w:ascii="Times New Roman" w:hAnsi="Times New Roman"/>
          <w:sz w:val="24"/>
          <w:szCs w:val="24"/>
        </w:rPr>
      </w:pPr>
      <w:proofErr w:type="gramStart"/>
      <w:r w:rsidRPr="00E44536">
        <w:rPr>
          <w:rFonts w:ascii="Times New Roman" w:hAnsi="Times New Roman"/>
          <w:sz w:val="24"/>
          <w:szCs w:val="24"/>
        </w:rPr>
        <w:t>pela</w:t>
      </w:r>
      <w:proofErr w:type="gramEnd"/>
      <w:r w:rsidRPr="00E44536">
        <w:rPr>
          <w:rFonts w:ascii="Times New Roman" w:hAnsi="Times New Roman"/>
          <w:sz w:val="24"/>
          <w:szCs w:val="24"/>
        </w:rPr>
        <w:t xml:space="preserve"> maior ou menor liberdade de ingresso de concorrentes no mercado, prestando serviços similares (contestabilidade).</w:t>
      </w:r>
    </w:p>
    <w:p w14:paraId="31F67192"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lastRenderedPageBreak/>
        <w:t xml:space="preserve">Os modais ferroviário, hidroviário-portuário e aeroviário apresentam custos fixos significativamente elevados. Mas a “contestabilidade” - associada ao ingresso de </w:t>
      </w:r>
      <w:r w:rsidRPr="00E44536">
        <w:rPr>
          <w:rFonts w:ascii="Times New Roman" w:hAnsi="Times New Roman"/>
          <w:b/>
          <w:sz w:val="24"/>
          <w:szCs w:val="24"/>
        </w:rPr>
        <w:t>concorrentes</w:t>
      </w:r>
      <w:r w:rsidRPr="00E44536">
        <w:rPr>
          <w:rFonts w:ascii="Times New Roman" w:hAnsi="Times New Roman"/>
          <w:sz w:val="24"/>
          <w:szCs w:val="24"/>
        </w:rPr>
        <w:t xml:space="preserve"> </w:t>
      </w:r>
      <w:r w:rsidRPr="00E44536">
        <w:rPr>
          <w:rFonts w:ascii="Times New Roman" w:hAnsi="Times New Roman"/>
          <w:b/>
          <w:sz w:val="24"/>
          <w:szCs w:val="24"/>
        </w:rPr>
        <w:t>diretos</w:t>
      </w:r>
      <w:r w:rsidRPr="00E44536">
        <w:rPr>
          <w:rStyle w:val="Refdenotaderodap"/>
          <w:rFonts w:ascii="Times New Roman" w:hAnsi="Times New Roman"/>
          <w:b/>
          <w:sz w:val="24"/>
          <w:szCs w:val="24"/>
        </w:rPr>
        <w:footnoteReference w:id="1"/>
      </w:r>
      <w:r w:rsidRPr="00E44536">
        <w:rPr>
          <w:rFonts w:ascii="Times New Roman" w:hAnsi="Times New Roman"/>
          <w:sz w:val="24"/>
          <w:szCs w:val="24"/>
        </w:rPr>
        <w:t xml:space="preserve"> - é muito distinta nestes três sistemas. </w:t>
      </w:r>
    </w:p>
    <w:p w14:paraId="566FBF53" w14:textId="77777777" w:rsidR="00E44536" w:rsidRPr="00E44536" w:rsidRDefault="00E44536" w:rsidP="00AC49D8">
      <w:pPr>
        <w:spacing w:after="120" w:line="360" w:lineRule="auto"/>
        <w:ind w:firstLine="709"/>
        <w:jc w:val="both"/>
        <w:rPr>
          <w:rFonts w:ascii="Times New Roman" w:hAnsi="Times New Roman"/>
          <w:b/>
          <w:sz w:val="24"/>
          <w:szCs w:val="24"/>
        </w:rPr>
      </w:pPr>
      <w:r w:rsidRPr="00E44536">
        <w:rPr>
          <w:rFonts w:ascii="Times New Roman" w:hAnsi="Times New Roman"/>
          <w:sz w:val="24"/>
          <w:szCs w:val="24"/>
        </w:rPr>
        <w:t xml:space="preserve">O modal ferroviário é aquele que, em condições normais, apresenta a menor contestabilidade pela </w:t>
      </w:r>
      <w:r w:rsidRPr="00E44536">
        <w:rPr>
          <w:rFonts w:ascii="Times New Roman" w:hAnsi="Times New Roman"/>
          <w:b/>
          <w:sz w:val="24"/>
          <w:szCs w:val="24"/>
        </w:rPr>
        <w:t>concorrência direta, estritamente</w:t>
      </w:r>
      <w:r w:rsidRPr="00E44536">
        <w:rPr>
          <w:rFonts w:ascii="Times New Roman" w:hAnsi="Times New Roman"/>
          <w:sz w:val="24"/>
          <w:szCs w:val="24"/>
        </w:rPr>
        <w:t xml:space="preserve"> </w:t>
      </w:r>
      <w:r w:rsidRPr="00E44536">
        <w:rPr>
          <w:rFonts w:ascii="Times New Roman" w:hAnsi="Times New Roman"/>
          <w:b/>
          <w:sz w:val="24"/>
          <w:szCs w:val="24"/>
        </w:rPr>
        <w:t>interna</w:t>
      </w:r>
      <w:r w:rsidRPr="00E44536">
        <w:rPr>
          <w:rFonts w:ascii="Times New Roman" w:hAnsi="Times New Roman"/>
          <w:sz w:val="24"/>
          <w:szCs w:val="24"/>
        </w:rPr>
        <w:t xml:space="preserve">. </w:t>
      </w:r>
      <w:r w:rsidRPr="00E44536">
        <w:rPr>
          <w:rFonts w:ascii="Times New Roman" w:hAnsi="Times New Roman"/>
          <w:b/>
          <w:sz w:val="24"/>
          <w:szCs w:val="24"/>
        </w:rPr>
        <w:t xml:space="preserve">A princípio, uma ferrovia é monopólio natural de seu construtor-operador. A concorrência entre distintos operadores só se impõe por determinação legal e institucional. </w:t>
      </w:r>
    </w:p>
    <w:p w14:paraId="180BB02E"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Diferentemente, o modal hidroviário conta naturalmente com dois grandes elos (ou </w:t>
      </w:r>
      <w:proofErr w:type="spellStart"/>
      <w:r w:rsidRPr="00E44536">
        <w:rPr>
          <w:rFonts w:ascii="Times New Roman" w:hAnsi="Times New Roman"/>
          <w:sz w:val="24"/>
          <w:szCs w:val="24"/>
        </w:rPr>
        <w:t>sub-cadeias</w:t>
      </w:r>
      <w:proofErr w:type="spellEnd"/>
      <w:r w:rsidRPr="00E44536">
        <w:rPr>
          <w:rFonts w:ascii="Times New Roman" w:hAnsi="Times New Roman"/>
          <w:sz w:val="24"/>
          <w:szCs w:val="24"/>
        </w:rPr>
        <w:t xml:space="preserve">): os fornecedores dos serviços de transporte propriamente dito (armadores, contratadores de carga e demais elos adjacentes); e os fornecedores de serviços portuários (incluindo carga e descarga, armazenamento, administração do embarque, etc.). A princípio, ambos apresentam contestabilidade interna superior à ferrovia. Mas a contestabilidade do sistema portuário é significativamente menor do que a contestabilidade dos serviços prestados por armadores. E ambas são função do marco regulatório definidor das exigências públicas para qualificar operadores privados no modal. </w:t>
      </w:r>
    </w:p>
    <w:p w14:paraId="1372886A"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O modal aeroviário se estrutura de forma similar ao hidroviário, com dois elos (ou </w:t>
      </w:r>
      <w:proofErr w:type="spellStart"/>
      <w:r w:rsidRPr="00E44536">
        <w:rPr>
          <w:rFonts w:ascii="Times New Roman" w:hAnsi="Times New Roman"/>
          <w:sz w:val="24"/>
          <w:szCs w:val="24"/>
        </w:rPr>
        <w:t>sub-cadeias</w:t>
      </w:r>
      <w:proofErr w:type="spellEnd"/>
      <w:r w:rsidRPr="00E44536">
        <w:rPr>
          <w:rFonts w:ascii="Times New Roman" w:hAnsi="Times New Roman"/>
          <w:sz w:val="24"/>
          <w:szCs w:val="24"/>
        </w:rPr>
        <w:t>) fundamentais: operadores de transporte e os operadores dos serviços (aero ou hidro) portuários. A contestabilidade e a concorrência em preços dos operadores de transporte é, como regra geral, a mais elevada dos três modais de elevado custo fixo</w:t>
      </w:r>
      <w:r w:rsidRPr="00E44536">
        <w:rPr>
          <w:rStyle w:val="Refdenotaderodap"/>
          <w:rFonts w:ascii="Times New Roman" w:hAnsi="Times New Roman"/>
          <w:sz w:val="24"/>
          <w:szCs w:val="24"/>
        </w:rPr>
        <w:footnoteReference w:id="2"/>
      </w:r>
      <w:r w:rsidRPr="00E44536">
        <w:rPr>
          <w:rFonts w:ascii="Times New Roman" w:hAnsi="Times New Roman"/>
          <w:sz w:val="24"/>
          <w:szCs w:val="24"/>
        </w:rPr>
        <w:t xml:space="preserve">. Já a contestabilidade dos serviços aeroportuários é baixa e similar aos serviços </w:t>
      </w:r>
      <w:proofErr w:type="spellStart"/>
      <w:r w:rsidRPr="00E44536">
        <w:rPr>
          <w:rFonts w:ascii="Times New Roman" w:hAnsi="Times New Roman"/>
          <w:sz w:val="24"/>
          <w:szCs w:val="24"/>
        </w:rPr>
        <w:t>hidro-portuários</w:t>
      </w:r>
      <w:proofErr w:type="spellEnd"/>
      <w:r w:rsidRPr="00E44536">
        <w:rPr>
          <w:rFonts w:ascii="Times New Roman" w:hAnsi="Times New Roman"/>
          <w:sz w:val="24"/>
          <w:szCs w:val="24"/>
        </w:rPr>
        <w:t xml:space="preserve">. </w:t>
      </w:r>
    </w:p>
    <w:p w14:paraId="2BE80AB9"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lastRenderedPageBreak/>
        <w:t xml:space="preserve">O modal rodoviário é o de menor participação dos custos fixos nos custos totais. É esta característica, também, que o faz o modal mais contestável. O ingresso em seus dois elos (ou </w:t>
      </w:r>
      <w:proofErr w:type="spellStart"/>
      <w:r w:rsidRPr="00E44536">
        <w:rPr>
          <w:rFonts w:ascii="Times New Roman" w:hAnsi="Times New Roman"/>
          <w:sz w:val="24"/>
          <w:szCs w:val="24"/>
        </w:rPr>
        <w:t>sub-cadeias</w:t>
      </w:r>
      <w:proofErr w:type="spellEnd"/>
      <w:r w:rsidRPr="00E44536">
        <w:rPr>
          <w:rFonts w:ascii="Times New Roman" w:hAnsi="Times New Roman"/>
          <w:sz w:val="24"/>
          <w:szCs w:val="24"/>
        </w:rPr>
        <w:t xml:space="preserve">) fundamentais – transportadores e construtores-operadores de rodovias – envolve investimentos muito inferiores e domínio tecnológico muito mais difundido do que o ingresso em qualquer dos demais modais. Por isto mesmo, o marco regulatório neste modal usualmente busca </w:t>
      </w:r>
      <w:r w:rsidRPr="00E44536">
        <w:rPr>
          <w:rFonts w:ascii="Times New Roman" w:hAnsi="Times New Roman"/>
          <w:b/>
          <w:sz w:val="24"/>
          <w:szCs w:val="24"/>
        </w:rPr>
        <w:t>garantir</w:t>
      </w:r>
      <w:r w:rsidRPr="00E44536">
        <w:rPr>
          <w:rFonts w:ascii="Times New Roman" w:hAnsi="Times New Roman"/>
          <w:sz w:val="24"/>
          <w:szCs w:val="24"/>
        </w:rPr>
        <w:t xml:space="preserve"> a lucratividade mínima dos prestadores de serviços, circunscrevendo a possibilidade de contestação interna ao setor. Este ponto é de grande importância para nossa discussão e o deixaremos para o final de nossa exposição. O modal rodoviário será analisado após (e a partir) dos demais, cujos padrões de formação de preços são relativamente mais simples. </w:t>
      </w:r>
    </w:p>
    <w:p w14:paraId="7FF0283B"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b/>
          <w:sz w:val="24"/>
          <w:szCs w:val="24"/>
        </w:rPr>
        <w:t>2.1.</w:t>
      </w:r>
      <w:r w:rsidRPr="00E44536">
        <w:rPr>
          <w:rFonts w:ascii="Times New Roman" w:hAnsi="Times New Roman"/>
          <w:sz w:val="24"/>
          <w:szCs w:val="24"/>
        </w:rPr>
        <w:t xml:space="preserve"> </w:t>
      </w:r>
      <w:r w:rsidRPr="00E44536">
        <w:rPr>
          <w:rFonts w:ascii="Times New Roman" w:hAnsi="Times New Roman"/>
          <w:b/>
          <w:sz w:val="24"/>
          <w:szCs w:val="24"/>
        </w:rPr>
        <w:t>Formação de preços no modal aeroviário</w:t>
      </w:r>
    </w:p>
    <w:p w14:paraId="3B445526"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Vamos começar analisando a formação de preços no modal mais moderno e de maior custo por volume transportado: o aeroviário. A precificação neste modal apresenta um padrão peculiar. Mas estas peculiaridades nos auxiliarão a compreender a precificação dos demais por contraste e aproximação relativa. Além disso, o modal aeroviário conta com uma vantagem: todos os leitores já o usaram alguma vez como passageiros, e tem algum conhecimento de seu padrão de precificação. </w:t>
      </w:r>
    </w:p>
    <w:p w14:paraId="47835411"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O que caracteriza, antes de mais nada, o padrão de precificação neste modal é a extraordinária diversidade: dificilmente duas pessoas, sentadas lado a lado, em qualquer avião de passageiros terão pago o mesmo preço por sua passagem. Alguns sequer pagaram com dinheiro, mas com milhas acumuladas por suas viagens de negócio, pagas pela empresa da qual é funcionário. Outros estão em excursão e a agência de viagens pagou um preço promocional que os passageiros sequer desconfiam (mas que foi baixo, dado o preço geral do “pacote”). Outros, compraram de última hora e pagaram tarifa cheia (eufemismo para “tarifa exorbitante”). Este padrão de precificação é derivado dos elevados custos fixos do transporte aeroviário e de um grau não desprezível de contestabilidade. Senão, vejamos.</w:t>
      </w:r>
    </w:p>
    <w:p w14:paraId="143CF209"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No curto e médio prazo, todos os custos operacionais são fixos no transporte aeroviário. A companhia aérea tem que decolar e assumir todos os dispêndios com combustíveis e pessoal, mesmo com a aeronave vazia. E isto não só porque as rotas são </w:t>
      </w:r>
      <w:r w:rsidRPr="00E44536">
        <w:rPr>
          <w:rFonts w:ascii="Times New Roman" w:hAnsi="Times New Roman"/>
          <w:sz w:val="24"/>
          <w:szCs w:val="24"/>
        </w:rPr>
        <w:lastRenderedPageBreak/>
        <w:t xml:space="preserve">autorizadas, distribuídas e reguladas pela autoridade nacional que controla o tráfego aéreo.  E mesmo quando é possível driblar a exigência </w:t>
      </w:r>
      <w:r w:rsidRPr="00E44536">
        <w:rPr>
          <w:rFonts w:ascii="Times New Roman" w:hAnsi="Times New Roman"/>
          <w:b/>
          <w:sz w:val="24"/>
          <w:szCs w:val="24"/>
        </w:rPr>
        <w:t>legal</w:t>
      </w:r>
      <w:r w:rsidRPr="00E44536">
        <w:rPr>
          <w:rFonts w:ascii="Times New Roman" w:hAnsi="Times New Roman"/>
          <w:sz w:val="24"/>
          <w:szCs w:val="24"/>
        </w:rPr>
        <w:t xml:space="preserve"> de realização da operação de transporte, usualmente a aeronave é aguardada no destino para realizar o transporte de passageiros que já contrataram o voo há muito. De sorte que praticamente todos os custos das companhias aéreas – até o custo marginal de operação – são fixos. E, neste caso, qualquer ingresso monetário associado à venda de mais uma passagem (que poderia estar vazia sem aquela aquisição em particular) contribui para pagar parte do custo fixo. Qualquer ingresso, é ganho líquido até a plena ocupação</w:t>
      </w:r>
      <w:r w:rsidRPr="00E44536">
        <w:rPr>
          <w:rStyle w:val="Refdenotaderodap"/>
          <w:rFonts w:ascii="Times New Roman" w:hAnsi="Times New Roman"/>
          <w:sz w:val="24"/>
          <w:szCs w:val="24"/>
        </w:rPr>
        <w:footnoteReference w:id="3"/>
      </w:r>
      <w:r w:rsidRPr="00E44536">
        <w:rPr>
          <w:rFonts w:ascii="Times New Roman" w:hAnsi="Times New Roman"/>
          <w:sz w:val="24"/>
          <w:szCs w:val="24"/>
        </w:rPr>
        <w:t>.</w:t>
      </w:r>
    </w:p>
    <w:p w14:paraId="011DFF4B"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Esta diversificação de preços é altamente benéfica aos compradores, que podem adquirir a diferentes preços, de acordo com seus orçamentos e planejamento da viagem. E é relativamente perversa para as empresas. Como as recorrentes falências, aquisições e fusões no setor aéreo o demonstram. Que é compensada pela recorrente entrada de novas empresas no setor. Assim, o setor de serviços aéreos de transporte se “organizam” como um oligopólio particularmente instável. As empresas crescem até um certo patamar e (malgrado exceções notáveis) decaem. Muitas das empresas mais longevas já passaram por mais de uma crise financeira grave, só superadas com apoio governamental (usualmente justificado com argumentos de soberania nacional). </w:t>
      </w:r>
    </w:p>
    <w:p w14:paraId="76D78050"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 Apesar da instabilidade em sua conformação e participação relativa das distintas empresas, o mercado aeroviário não tende para a concentração crescente. Pois o ingresso de novas empresas concorrentes nas rotas mais disputadas é sistemático. Como regra geral, tratam-se de empresas com alguma experiência no mercado aeroviário, mas que iniciaram operando em rotas marginais, com aeronaves relativamente pequenas, que atendem uma demanda restrita. Em função mesmo da restrição de mercado, o número de empresa que operam e </w:t>
      </w:r>
      <w:r w:rsidRPr="00E44536">
        <w:rPr>
          <w:rFonts w:ascii="Times New Roman" w:hAnsi="Times New Roman"/>
          <w:b/>
          <w:sz w:val="24"/>
          <w:szCs w:val="24"/>
        </w:rPr>
        <w:t>concorrem</w:t>
      </w:r>
      <w:r w:rsidRPr="00E44536">
        <w:rPr>
          <w:rFonts w:ascii="Times New Roman" w:hAnsi="Times New Roman"/>
          <w:sz w:val="24"/>
          <w:szCs w:val="24"/>
        </w:rPr>
        <w:t xml:space="preserve"> em rotas marginas é </w:t>
      </w:r>
      <w:r w:rsidRPr="00E44536">
        <w:rPr>
          <w:rFonts w:ascii="Times New Roman" w:hAnsi="Times New Roman"/>
          <w:b/>
          <w:sz w:val="24"/>
          <w:szCs w:val="24"/>
        </w:rPr>
        <w:t>pequeno</w:t>
      </w:r>
      <w:r w:rsidRPr="00E44536">
        <w:rPr>
          <w:rFonts w:ascii="Times New Roman" w:hAnsi="Times New Roman"/>
          <w:sz w:val="24"/>
          <w:szCs w:val="24"/>
        </w:rPr>
        <w:t xml:space="preserve">. Muitas vezes, uma única empresa (ou, no máximo, duas) </w:t>
      </w:r>
      <w:proofErr w:type="gramStart"/>
      <w:r w:rsidRPr="00E44536">
        <w:rPr>
          <w:rFonts w:ascii="Times New Roman" w:hAnsi="Times New Roman"/>
          <w:sz w:val="24"/>
          <w:szCs w:val="24"/>
        </w:rPr>
        <w:t>oferece(</w:t>
      </w:r>
      <w:proofErr w:type="gramEnd"/>
      <w:r w:rsidRPr="00E44536">
        <w:rPr>
          <w:rFonts w:ascii="Times New Roman" w:hAnsi="Times New Roman"/>
          <w:sz w:val="24"/>
          <w:szCs w:val="24"/>
        </w:rPr>
        <w:t xml:space="preserve">m) uma determinada rota. De sorte que o grau de monopólio das operadoras é elevado, assim como seu poder de impor preços sobre os custos diretos e totais e conquistar uma taxa de lucro não desprezível. A lucratividade induz ao crescimento. Via de regra, pelo ingresso nos mercados mais </w:t>
      </w:r>
      <w:r w:rsidRPr="00E44536">
        <w:rPr>
          <w:rFonts w:ascii="Times New Roman" w:hAnsi="Times New Roman"/>
          <w:sz w:val="24"/>
          <w:szCs w:val="24"/>
        </w:rPr>
        <w:lastRenderedPageBreak/>
        <w:t>cobiçado: as grandes rotas, de mercado expressivo. Onde a concorrência é usualmente elevadíssima. E os lucros são mínimos</w:t>
      </w:r>
      <w:r w:rsidRPr="00E44536">
        <w:rPr>
          <w:rStyle w:val="Refdenotaderodap"/>
          <w:rFonts w:ascii="Times New Roman" w:hAnsi="Times New Roman"/>
          <w:sz w:val="24"/>
          <w:szCs w:val="24"/>
        </w:rPr>
        <w:footnoteReference w:id="4"/>
      </w:r>
      <w:r w:rsidRPr="00E44536">
        <w:rPr>
          <w:rFonts w:ascii="Times New Roman" w:hAnsi="Times New Roman"/>
          <w:sz w:val="24"/>
          <w:szCs w:val="24"/>
        </w:rPr>
        <w:t>.</w:t>
      </w:r>
    </w:p>
    <w:p w14:paraId="44627360" w14:textId="77777777" w:rsidR="00E44536" w:rsidRPr="00E44536" w:rsidRDefault="00E44536" w:rsidP="00AC49D8">
      <w:pPr>
        <w:spacing w:after="120" w:line="360" w:lineRule="auto"/>
        <w:ind w:firstLine="709"/>
        <w:jc w:val="both"/>
        <w:rPr>
          <w:rFonts w:ascii="Times New Roman" w:hAnsi="Times New Roman"/>
          <w:b/>
          <w:sz w:val="24"/>
          <w:szCs w:val="24"/>
        </w:rPr>
      </w:pPr>
      <w:r w:rsidRPr="00E44536">
        <w:rPr>
          <w:rFonts w:ascii="Times New Roman" w:hAnsi="Times New Roman"/>
          <w:b/>
          <w:sz w:val="24"/>
          <w:szCs w:val="24"/>
        </w:rPr>
        <w:t>2.2. Características e Precificação no Modal Ferroviário</w:t>
      </w:r>
    </w:p>
    <w:p w14:paraId="0FF10810"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A apresentação do padrão de formação de preços do modal aeroviário nos permite derivar duas regras </w:t>
      </w:r>
      <w:r w:rsidRPr="00E44536">
        <w:rPr>
          <w:rFonts w:ascii="Times New Roman" w:hAnsi="Times New Roman"/>
          <w:b/>
          <w:sz w:val="24"/>
          <w:szCs w:val="24"/>
        </w:rPr>
        <w:t>absolutamente gerais</w:t>
      </w:r>
      <w:r w:rsidRPr="00E44536">
        <w:rPr>
          <w:rFonts w:ascii="Times New Roman" w:hAnsi="Times New Roman"/>
          <w:sz w:val="24"/>
          <w:szCs w:val="24"/>
        </w:rPr>
        <w:t xml:space="preserve"> sobre formação de preços dos serviços logísticos: </w:t>
      </w:r>
    </w:p>
    <w:p w14:paraId="2CCF0DA7" w14:textId="77777777" w:rsidR="00E44536" w:rsidRPr="00E44536" w:rsidRDefault="00E44536" w:rsidP="00AC49D8">
      <w:pPr>
        <w:pStyle w:val="PargrafodaLista"/>
        <w:numPr>
          <w:ilvl w:val="1"/>
          <w:numId w:val="5"/>
        </w:numPr>
        <w:spacing w:after="120" w:line="360" w:lineRule="auto"/>
        <w:ind w:left="0" w:firstLine="709"/>
        <w:jc w:val="both"/>
        <w:rPr>
          <w:rFonts w:ascii="Times New Roman" w:hAnsi="Times New Roman"/>
          <w:sz w:val="24"/>
          <w:szCs w:val="24"/>
        </w:rPr>
      </w:pPr>
      <w:proofErr w:type="gramStart"/>
      <w:r w:rsidRPr="00E44536">
        <w:rPr>
          <w:rFonts w:ascii="Times New Roman" w:hAnsi="Times New Roman"/>
          <w:sz w:val="24"/>
          <w:szCs w:val="24"/>
        </w:rPr>
        <w:t>quanto</w:t>
      </w:r>
      <w:proofErr w:type="gramEnd"/>
      <w:r w:rsidRPr="00E44536">
        <w:rPr>
          <w:rFonts w:ascii="Times New Roman" w:hAnsi="Times New Roman"/>
          <w:sz w:val="24"/>
          <w:szCs w:val="24"/>
        </w:rPr>
        <w:t xml:space="preserve"> maiores os custos fixos da operadora de transporte, maior a tendência à diferenciação interna de preços;</w:t>
      </w:r>
    </w:p>
    <w:p w14:paraId="1E4B9038" w14:textId="77777777" w:rsidR="00E44536" w:rsidRPr="00E44536" w:rsidRDefault="00E44536" w:rsidP="00AC49D8">
      <w:pPr>
        <w:pStyle w:val="PargrafodaLista"/>
        <w:spacing w:after="120" w:line="360" w:lineRule="auto"/>
        <w:ind w:left="0" w:firstLine="709"/>
        <w:jc w:val="both"/>
        <w:rPr>
          <w:rFonts w:ascii="Times New Roman" w:hAnsi="Times New Roman"/>
          <w:sz w:val="24"/>
          <w:szCs w:val="24"/>
        </w:rPr>
      </w:pPr>
    </w:p>
    <w:p w14:paraId="53E871EF" w14:textId="77777777" w:rsidR="00E44536" w:rsidRPr="00E44536" w:rsidRDefault="00E44536" w:rsidP="00AC49D8">
      <w:pPr>
        <w:pStyle w:val="PargrafodaLista"/>
        <w:numPr>
          <w:ilvl w:val="1"/>
          <w:numId w:val="5"/>
        </w:numPr>
        <w:spacing w:after="120" w:line="360" w:lineRule="auto"/>
        <w:ind w:left="0" w:firstLine="709"/>
        <w:jc w:val="both"/>
        <w:rPr>
          <w:rFonts w:ascii="Times New Roman" w:hAnsi="Times New Roman"/>
          <w:sz w:val="24"/>
          <w:szCs w:val="24"/>
        </w:rPr>
      </w:pPr>
      <w:proofErr w:type="gramStart"/>
      <w:r w:rsidRPr="00E44536">
        <w:rPr>
          <w:rFonts w:ascii="Times New Roman" w:hAnsi="Times New Roman"/>
          <w:sz w:val="24"/>
          <w:szCs w:val="24"/>
        </w:rPr>
        <w:t>quanto</w:t>
      </w:r>
      <w:proofErr w:type="gramEnd"/>
      <w:r w:rsidRPr="00E44536">
        <w:rPr>
          <w:rFonts w:ascii="Times New Roman" w:hAnsi="Times New Roman"/>
          <w:sz w:val="24"/>
          <w:szCs w:val="24"/>
        </w:rPr>
        <w:t xml:space="preserve"> maior o número de operadores em modais de elevado custo fixo, menor o preço médio e menor o lucro dos mesmos. </w:t>
      </w:r>
    </w:p>
    <w:p w14:paraId="1767C381"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A adequada compreensão destas duas regras é essencial para que se entenda a peculiaridade dos investimentos e da formação de preços no modal ferroviário. E sem entender a lógica de investimentos e de precificação neste modal não poderemos avaliar qual a melhor estratégia para promover sua ampliação e qualificação competitiva; condição </w:t>
      </w:r>
      <w:proofErr w:type="spellStart"/>
      <w:r w:rsidRPr="00E44536">
        <w:rPr>
          <w:rFonts w:ascii="Times New Roman" w:hAnsi="Times New Roman"/>
          <w:i/>
          <w:sz w:val="24"/>
          <w:szCs w:val="24"/>
        </w:rPr>
        <w:t>sine</w:t>
      </w:r>
      <w:proofErr w:type="spellEnd"/>
      <w:r w:rsidRPr="00E44536">
        <w:rPr>
          <w:rFonts w:ascii="Times New Roman" w:hAnsi="Times New Roman"/>
          <w:i/>
          <w:sz w:val="24"/>
          <w:szCs w:val="24"/>
        </w:rPr>
        <w:t xml:space="preserve"> </w:t>
      </w:r>
      <w:proofErr w:type="spellStart"/>
      <w:r w:rsidRPr="00E44536">
        <w:rPr>
          <w:rFonts w:ascii="Times New Roman" w:hAnsi="Times New Roman"/>
          <w:i/>
          <w:sz w:val="24"/>
          <w:szCs w:val="24"/>
        </w:rPr>
        <w:t>qua</w:t>
      </w:r>
      <w:proofErr w:type="spellEnd"/>
      <w:r w:rsidRPr="00E44536">
        <w:rPr>
          <w:rFonts w:ascii="Times New Roman" w:hAnsi="Times New Roman"/>
          <w:i/>
          <w:sz w:val="24"/>
          <w:szCs w:val="24"/>
        </w:rPr>
        <w:t xml:space="preserve"> non</w:t>
      </w:r>
      <w:r w:rsidRPr="00E44536">
        <w:rPr>
          <w:rFonts w:ascii="Times New Roman" w:hAnsi="Times New Roman"/>
          <w:sz w:val="24"/>
          <w:szCs w:val="24"/>
        </w:rPr>
        <w:t xml:space="preserve"> para </w:t>
      </w:r>
      <w:proofErr w:type="spellStart"/>
      <w:r w:rsidRPr="00E44536">
        <w:rPr>
          <w:rFonts w:ascii="Times New Roman" w:hAnsi="Times New Roman"/>
          <w:sz w:val="24"/>
          <w:szCs w:val="24"/>
        </w:rPr>
        <w:t>estruturalizar</w:t>
      </w:r>
      <w:proofErr w:type="spellEnd"/>
      <w:r w:rsidRPr="00E44536">
        <w:rPr>
          <w:rFonts w:ascii="Times New Roman" w:hAnsi="Times New Roman"/>
          <w:sz w:val="24"/>
          <w:szCs w:val="24"/>
        </w:rPr>
        <w:t xml:space="preserve"> a competitividade da Região Sul do Brasil. </w:t>
      </w:r>
    </w:p>
    <w:p w14:paraId="02C3F200"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 O modal ferroviário comunga de uma característica central com o modal aeroviário: os elevados custos fixos. Mas a concorrência entre os prestadores de serviços tende a ser muito inferior. Muitas vezes, os operadores deste modal são monopolistas e não existe contestabilidade interna efetiva. </w:t>
      </w:r>
    </w:p>
    <w:p w14:paraId="32279E14" w14:textId="09233A93"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As estruturas ferroviárias são o exemplo típico do que a teoria econômica dominante a</w:t>
      </w:r>
      <w:r>
        <w:rPr>
          <w:rFonts w:ascii="Times New Roman" w:hAnsi="Times New Roman"/>
          <w:sz w:val="24"/>
          <w:szCs w:val="24"/>
        </w:rPr>
        <w:t xml:space="preserve">té meados do século chamava de </w:t>
      </w:r>
      <w:r w:rsidRPr="00E44536">
        <w:rPr>
          <w:rFonts w:ascii="Times New Roman" w:hAnsi="Times New Roman"/>
          <w:sz w:val="24"/>
          <w:szCs w:val="24"/>
        </w:rPr>
        <w:t xml:space="preserve">“monopólio natural”. Dados os elevadíssimos custos fixos associados à construção de uma ferrovia, uma vez implantada uma linha, dificilmente algum concorrente se atreveria a construir uma nova linha de traçado similar, mesmo quando não existem restrições legais ao ingresso de concorrentes (garantindo um mínimo de lucratividade ao investidor). E isto porque </w:t>
      </w:r>
      <w:r w:rsidRPr="00E44536">
        <w:rPr>
          <w:rFonts w:ascii="Times New Roman" w:hAnsi="Times New Roman"/>
          <w:b/>
          <w:sz w:val="24"/>
          <w:szCs w:val="24"/>
        </w:rPr>
        <w:t xml:space="preserve">a elevada </w:t>
      </w:r>
      <w:r w:rsidRPr="00E44536">
        <w:rPr>
          <w:rFonts w:ascii="Times New Roman" w:hAnsi="Times New Roman"/>
          <w:b/>
          <w:sz w:val="24"/>
          <w:szCs w:val="24"/>
        </w:rPr>
        <w:lastRenderedPageBreak/>
        <w:t>participação dos custos fixos nos custos totais e a elevada capacidade de carga de um comboio induziriam a uma guerra de preços ainda mais profunda do que aquela que normalmente grassa entre companhias de transporte aéreo.</w:t>
      </w:r>
      <w:r w:rsidRPr="00E44536">
        <w:rPr>
          <w:rFonts w:ascii="Times New Roman" w:hAnsi="Times New Roman"/>
          <w:sz w:val="24"/>
          <w:szCs w:val="24"/>
        </w:rPr>
        <w:t xml:space="preserve"> </w:t>
      </w:r>
      <w:r w:rsidRPr="00E44536">
        <w:rPr>
          <w:rFonts w:ascii="Times New Roman" w:hAnsi="Times New Roman"/>
          <w:b/>
          <w:sz w:val="24"/>
          <w:szCs w:val="24"/>
        </w:rPr>
        <w:t xml:space="preserve">Afinal, enquanto as companhias aéreas podem abrir mão de rotas menos lucrativas, deslocando o equipamento-aeronave para outros destinos, o mesmo não pode ser feito no modal ferroviário com os trilhos de uma ferrovia. </w:t>
      </w:r>
      <w:r w:rsidRPr="00E44536">
        <w:rPr>
          <w:rFonts w:ascii="Times New Roman" w:hAnsi="Times New Roman"/>
          <w:sz w:val="24"/>
          <w:szCs w:val="24"/>
        </w:rPr>
        <w:t xml:space="preserve">De sorte que, uma vez instaurada uma guerra de preços, é muito difícil escapar dela. A não ser por cartelização e acordos de preços que, além de ilegais, são pouco estáveis. De sorte que nenhum investidor racional construiria uma segunda linha férrea voltada ao atendimento dos mesmos destinos antes do esgotamento da capacidade de transporte da primeira ferrovia e da emergência de uma demanda reprimida capaz de garantir a rentabilidade de </w:t>
      </w:r>
      <w:r w:rsidRPr="00E44536">
        <w:rPr>
          <w:rFonts w:ascii="Times New Roman" w:hAnsi="Times New Roman"/>
          <w:b/>
          <w:sz w:val="24"/>
          <w:szCs w:val="24"/>
        </w:rPr>
        <w:t>longo</w:t>
      </w:r>
      <w:r w:rsidRPr="00E44536">
        <w:rPr>
          <w:rFonts w:ascii="Times New Roman" w:hAnsi="Times New Roman"/>
          <w:sz w:val="24"/>
          <w:szCs w:val="24"/>
        </w:rPr>
        <w:t xml:space="preserve"> prazo. </w:t>
      </w:r>
    </w:p>
    <w:p w14:paraId="34E821F6"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Ora, mas se a exploração da operação toma a forma de monopólio natural, o agente construtor, proprietário e administrador da linha não estará disposto, nem a abrir mão da operação de transporte, nem a conceder seu uso a terceiros. </w:t>
      </w:r>
      <w:r w:rsidRPr="00E44536">
        <w:rPr>
          <w:rFonts w:ascii="Times New Roman" w:hAnsi="Times New Roman"/>
          <w:b/>
          <w:sz w:val="24"/>
          <w:szCs w:val="24"/>
        </w:rPr>
        <w:t>Porque o controlador</w:t>
      </w:r>
      <w:r w:rsidRPr="00E44536">
        <w:rPr>
          <w:rStyle w:val="Refdenotaderodap"/>
          <w:rFonts w:ascii="Times New Roman" w:hAnsi="Times New Roman"/>
          <w:b/>
          <w:sz w:val="24"/>
          <w:szCs w:val="24"/>
        </w:rPr>
        <w:footnoteReference w:id="5"/>
      </w:r>
      <w:r w:rsidRPr="00E44536">
        <w:rPr>
          <w:rFonts w:ascii="Times New Roman" w:hAnsi="Times New Roman"/>
          <w:b/>
          <w:sz w:val="24"/>
          <w:szCs w:val="24"/>
        </w:rPr>
        <w:t xml:space="preserve"> abriria mão do monopólio na oferta do serviço de transporte terrestre que apresenta o menor custo por unidade de volume e massa? E</w:t>
      </w:r>
      <w:r w:rsidRPr="00E44536">
        <w:rPr>
          <w:rFonts w:ascii="Times New Roman" w:hAnsi="Times New Roman"/>
          <w:sz w:val="24"/>
          <w:szCs w:val="24"/>
        </w:rPr>
        <w:t xml:space="preserve">sta posição monopolista permite que o operador ferroviário imponha aquele preço que lhe proporciona o lucro máximo.  </w:t>
      </w:r>
    </w:p>
    <w:p w14:paraId="486BA9CA"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b/>
          <w:sz w:val="24"/>
          <w:szCs w:val="24"/>
        </w:rPr>
        <w:t>A princípio, o preço de monopólio na oferta da carga ferroviária será o preço do transporte rodoviário (concorrente direto do transporte terrestre e de custos operacionais mais elevados) subtraídos os custos de transbordo e os custos associados ao diferencial de tempo entre a captação e a entrega da carga</w:t>
      </w:r>
      <w:r w:rsidRPr="00E44536">
        <w:rPr>
          <w:rFonts w:ascii="Times New Roman" w:hAnsi="Times New Roman"/>
          <w:sz w:val="24"/>
          <w:szCs w:val="24"/>
        </w:rPr>
        <w:t xml:space="preserve"> (que é usualmente superior no modal ferroviário). Vale dizer: </w:t>
      </w:r>
      <w:r w:rsidRPr="00E44536">
        <w:rPr>
          <w:rFonts w:ascii="Times New Roman" w:hAnsi="Times New Roman"/>
          <w:b/>
          <w:sz w:val="24"/>
          <w:szCs w:val="24"/>
          <w:u w:val="single"/>
        </w:rPr>
        <w:t>ao contrário do que usualmente se pretende, os menores custos operacionais do transporte ferroviário não necessariamente reduzem os preços efetivos dos fretes.</w:t>
      </w:r>
      <w:r w:rsidRPr="00E44536">
        <w:rPr>
          <w:rFonts w:ascii="Times New Roman" w:hAnsi="Times New Roman"/>
          <w:b/>
          <w:sz w:val="24"/>
          <w:szCs w:val="24"/>
        </w:rPr>
        <w:t xml:space="preserve"> </w:t>
      </w:r>
      <w:r w:rsidRPr="00E44536">
        <w:rPr>
          <w:rFonts w:ascii="Times New Roman" w:hAnsi="Times New Roman"/>
          <w:sz w:val="24"/>
          <w:szCs w:val="24"/>
        </w:rPr>
        <w:t xml:space="preserve">Isto só ocorrerá em duas circunstâncias: </w:t>
      </w:r>
    </w:p>
    <w:p w14:paraId="655D98E6" w14:textId="77777777" w:rsidR="00E44536" w:rsidRPr="00E44536" w:rsidRDefault="00E44536" w:rsidP="00AC49D8">
      <w:pPr>
        <w:pStyle w:val="PargrafodaLista"/>
        <w:numPr>
          <w:ilvl w:val="0"/>
          <w:numId w:val="7"/>
        </w:numPr>
        <w:spacing w:after="120" w:line="360" w:lineRule="auto"/>
        <w:ind w:left="0" w:firstLine="709"/>
        <w:jc w:val="both"/>
        <w:rPr>
          <w:rFonts w:ascii="Times New Roman" w:hAnsi="Times New Roman"/>
          <w:sz w:val="24"/>
          <w:szCs w:val="24"/>
        </w:rPr>
      </w:pPr>
      <w:proofErr w:type="gramStart"/>
      <w:r w:rsidRPr="00E44536">
        <w:rPr>
          <w:rFonts w:ascii="Times New Roman" w:hAnsi="Times New Roman"/>
          <w:sz w:val="24"/>
          <w:szCs w:val="24"/>
        </w:rPr>
        <w:lastRenderedPageBreak/>
        <w:t>se</w:t>
      </w:r>
      <w:proofErr w:type="gramEnd"/>
      <w:r w:rsidRPr="00E44536">
        <w:rPr>
          <w:rFonts w:ascii="Times New Roman" w:hAnsi="Times New Roman"/>
          <w:sz w:val="24"/>
          <w:szCs w:val="24"/>
        </w:rPr>
        <w:t xml:space="preserve"> o marco regulatório do modal ferroviário impuser a concorrência interna via compartilhamento de uma mesma linha por distintos operadores e pela </w:t>
      </w:r>
      <w:proofErr w:type="spellStart"/>
      <w:r w:rsidRPr="00E44536">
        <w:rPr>
          <w:rFonts w:ascii="Times New Roman" w:hAnsi="Times New Roman"/>
          <w:sz w:val="24"/>
          <w:szCs w:val="24"/>
        </w:rPr>
        <w:t>desverticalização</w:t>
      </w:r>
      <w:proofErr w:type="spellEnd"/>
      <w:r w:rsidRPr="00E44536">
        <w:rPr>
          <w:rFonts w:ascii="Times New Roman" w:hAnsi="Times New Roman"/>
          <w:sz w:val="24"/>
          <w:szCs w:val="24"/>
        </w:rPr>
        <w:t xml:space="preserve"> de seu controle (cindindo as figuras do proprietário, construtor, administrador e transportador); ou</w:t>
      </w:r>
    </w:p>
    <w:p w14:paraId="1E509C74" w14:textId="77777777" w:rsidR="00E44536" w:rsidRPr="00E44536" w:rsidRDefault="00E44536" w:rsidP="00AC49D8">
      <w:pPr>
        <w:pStyle w:val="PargrafodaLista"/>
        <w:numPr>
          <w:ilvl w:val="0"/>
          <w:numId w:val="7"/>
        </w:numPr>
        <w:spacing w:after="120" w:line="360" w:lineRule="auto"/>
        <w:ind w:left="0" w:firstLine="709"/>
        <w:jc w:val="both"/>
        <w:rPr>
          <w:rFonts w:ascii="Times New Roman" w:hAnsi="Times New Roman"/>
          <w:sz w:val="24"/>
          <w:szCs w:val="24"/>
        </w:rPr>
      </w:pPr>
      <w:proofErr w:type="gramStart"/>
      <w:r w:rsidRPr="00E44536">
        <w:rPr>
          <w:rFonts w:ascii="Times New Roman" w:hAnsi="Times New Roman"/>
          <w:sz w:val="24"/>
          <w:szCs w:val="24"/>
        </w:rPr>
        <w:t>se</w:t>
      </w:r>
      <w:proofErr w:type="gramEnd"/>
      <w:r w:rsidRPr="00E44536">
        <w:rPr>
          <w:rFonts w:ascii="Times New Roman" w:hAnsi="Times New Roman"/>
          <w:sz w:val="24"/>
          <w:szCs w:val="24"/>
        </w:rPr>
        <w:t xml:space="preserve"> a ferrovia sofrer a concorrência direta e efetiva do único modal que apresenta um custo de transporte por unidade de volume inferior: o </w:t>
      </w:r>
      <w:r w:rsidRPr="00E44536">
        <w:rPr>
          <w:rFonts w:ascii="Times New Roman" w:hAnsi="Times New Roman"/>
          <w:b/>
          <w:sz w:val="24"/>
          <w:szCs w:val="24"/>
        </w:rPr>
        <w:t>hidroviário</w:t>
      </w:r>
      <w:r w:rsidRPr="00E44536">
        <w:rPr>
          <w:rFonts w:ascii="Times New Roman" w:hAnsi="Times New Roman"/>
          <w:sz w:val="24"/>
          <w:szCs w:val="24"/>
        </w:rPr>
        <w:t xml:space="preserve">. </w:t>
      </w:r>
    </w:p>
    <w:p w14:paraId="158ED0AE"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Em suma: dado que os custos de transporte por unidade de volume dos modais aeroviário e rodoviário são mais elevados que o ferroviário, os preços praticados neste último só cairão significativamente abaixo do sistema de menor custo (o rodoviário) se a regulação pública impuser a concorrência entre fornecedoras de serviços ferroviários, ou se existir a alternativa do transporte hidroviário. Esta última alternativa pressupõe não apenas a existência de uma via navegável, mas, igualmente bem, a existência de estruturas portuárias e de prestadores de serviço de transporte hidroviário. Não obstante, esta é a via mais segura, rápida e eficaz de induzir as transportadoras ferroviárias a operarem com preços inferiores ao de monopólio. Para que se entenda este ponto, precisamos esclarecer os fundamentos da grande e sistemática resistência dos operadores ferroviários em abrir mão do monopólio natural. </w:t>
      </w:r>
    </w:p>
    <w:p w14:paraId="22E86214"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Tal como já apontado, o transporte ferroviário apresenta as características das grandes companhias de aviação: na medida em que os custos de qualquer operação de deslocamento são essencialmente fixos, é possível incorporar novos vagões-containers cobrando preços muito inferiores ao preço médio ou “de tabela”. Na realidade, este modal </w:t>
      </w:r>
      <w:r w:rsidRPr="00E44536">
        <w:rPr>
          <w:rFonts w:ascii="Times New Roman" w:hAnsi="Times New Roman"/>
          <w:b/>
          <w:sz w:val="24"/>
          <w:szCs w:val="24"/>
        </w:rPr>
        <w:t>pode</w:t>
      </w:r>
      <w:r w:rsidRPr="00E44536">
        <w:rPr>
          <w:rFonts w:ascii="Times New Roman" w:hAnsi="Times New Roman"/>
          <w:sz w:val="24"/>
          <w:szCs w:val="24"/>
        </w:rPr>
        <w:t xml:space="preserve"> (ainda que os operadores não queiram) operar com qualquer preço acima do custo marginal associado à incorporação de mais um vagão e este custo marginal é muito baixo, até o limite superior da capacidade de tração da locomotiva. Qualquer contribuição que supere os custos marginais associado à inclusão de um novo vagão-container ao comboio estará ampliando os lucros (ou diminuindo os prejuízos) operacionais. </w:t>
      </w:r>
    </w:p>
    <w:p w14:paraId="48075BF4"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b/>
          <w:sz w:val="24"/>
          <w:szCs w:val="24"/>
        </w:rPr>
        <w:t xml:space="preserve">É exatamente por isso, que o modal ferroviário é particularmente resistente à ampliação da concorrência em seu interior. </w:t>
      </w:r>
      <w:r w:rsidRPr="00E44536">
        <w:rPr>
          <w:rFonts w:ascii="Times New Roman" w:hAnsi="Times New Roman"/>
          <w:sz w:val="24"/>
          <w:szCs w:val="24"/>
        </w:rPr>
        <w:t xml:space="preserve">A simples imposição legal do direito de tráfego por parte de companhias transportadoras que não </w:t>
      </w:r>
      <w:proofErr w:type="gramStart"/>
      <w:r w:rsidRPr="00E44536">
        <w:rPr>
          <w:rFonts w:ascii="Times New Roman" w:hAnsi="Times New Roman"/>
          <w:sz w:val="24"/>
          <w:szCs w:val="24"/>
        </w:rPr>
        <w:t>as próprias concessionárias é</w:t>
      </w:r>
      <w:proofErr w:type="gramEnd"/>
      <w:r w:rsidRPr="00E44536">
        <w:rPr>
          <w:rFonts w:ascii="Times New Roman" w:hAnsi="Times New Roman"/>
          <w:sz w:val="24"/>
          <w:szCs w:val="24"/>
        </w:rPr>
        <w:t xml:space="preserve"> capaz de levar a uma situação </w:t>
      </w:r>
      <w:r w:rsidRPr="00E44536">
        <w:rPr>
          <w:rFonts w:ascii="Times New Roman" w:hAnsi="Times New Roman"/>
          <w:b/>
          <w:sz w:val="24"/>
          <w:szCs w:val="24"/>
        </w:rPr>
        <w:t>similar</w:t>
      </w:r>
      <w:r w:rsidRPr="00E44536">
        <w:rPr>
          <w:rFonts w:ascii="Times New Roman" w:hAnsi="Times New Roman"/>
          <w:sz w:val="24"/>
          <w:szCs w:val="24"/>
        </w:rPr>
        <w:t xml:space="preserve"> a das “linhas paralelas”: a possibilidade de emergir </w:t>
      </w:r>
      <w:r w:rsidRPr="00E44536">
        <w:rPr>
          <w:rFonts w:ascii="Times New Roman" w:hAnsi="Times New Roman"/>
          <w:sz w:val="24"/>
          <w:szCs w:val="24"/>
        </w:rPr>
        <w:lastRenderedPageBreak/>
        <w:t xml:space="preserve">uma guerra de preços para conquistar o clientes das demais operadoras é elevada. A única diferença com o caso da “linha paralela” encontra-se no fato de que a capacidade de carga não é duplicada com o ingresso de concorrentes operando sobre uma mesma e única linha. Não obstante, o risco de uma guerra de preços não é desprezível. Senão vejamos. </w:t>
      </w:r>
    </w:p>
    <w:p w14:paraId="5D5F6C71"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Imaginemos que, inicialmente, uma única firma controle todas as operações no modal ferroviário e que ela pratica um preço de monopólio, vale dizer, o preço que lhe garante o maior lucro possível e que é baseado nos custos do modal rodoviário. Imaginemos que, posteriormente, o governo imponha a concorrência, determinando que uma determinada percentagem do tempo (por exemplo, 50%) de uso da linha seja destinada a outras operadoras. Imaginemos, ainda, que as operadoras ingressantes adotem as mesmas tarifas da firma que perdeu o monopólio com vistas a evitar uma guerra de preços e maximizar os lucros conjuntamente. </w:t>
      </w:r>
    </w:p>
    <w:p w14:paraId="30D00BDC"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Ora, este preço é muito superior aos custos marginal e médio. E, por ser tão elevado, desloca para o modal </w:t>
      </w:r>
      <w:proofErr w:type="gramStart"/>
      <w:r w:rsidRPr="00E44536">
        <w:rPr>
          <w:rFonts w:ascii="Times New Roman" w:hAnsi="Times New Roman"/>
          <w:sz w:val="24"/>
          <w:szCs w:val="24"/>
        </w:rPr>
        <w:t>rodoviário parcela</w:t>
      </w:r>
      <w:proofErr w:type="gramEnd"/>
      <w:r w:rsidRPr="00E44536">
        <w:rPr>
          <w:rFonts w:ascii="Times New Roman" w:hAnsi="Times New Roman"/>
          <w:sz w:val="24"/>
          <w:szCs w:val="24"/>
        </w:rPr>
        <w:t xml:space="preserve"> da demanda potencial sobre a ferrovia. Nestas condições, a tentação de oferecer serviços “diferenciados” à clientela que se quer conquistar tende a ser elevada. A não ser que cada operadora trabalhe no limite de sua capacidade</w:t>
      </w:r>
      <w:r w:rsidRPr="00E44536">
        <w:rPr>
          <w:rStyle w:val="Refdenotaderodap"/>
          <w:rFonts w:ascii="Times New Roman" w:hAnsi="Times New Roman"/>
          <w:sz w:val="24"/>
          <w:szCs w:val="24"/>
        </w:rPr>
        <w:footnoteReference w:id="6"/>
      </w:r>
      <w:r w:rsidRPr="00E44536">
        <w:rPr>
          <w:rFonts w:ascii="Times New Roman" w:hAnsi="Times New Roman"/>
          <w:sz w:val="24"/>
          <w:szCs w:val="24"/>
        </w:rPr>
        <w:t xml:space="preserve">. Neste caso, o preço de monopólio será mantido e os usuários pouco se beneficiarão da alternativa ferroviária ao modal rodoviário. Porém, se alguma das operadoras se deparar com capacidade ociosa, é muito provável que ela venha a oferecer vantagens a clientes potenciais com vistas a ampliar a carga transportada por comboio. E se a concorrência em preços emerge num modal tão peculiar é difícil frear o seu desenvolvimento. E isto porque – ao contrário do modal aeroviário, em que cada operadora pode abrir mão de uma rota deficitária – a rota ferroviária não é objeto de deslocamento. </w:t>
      </w:r>
    </w:p>
    <w:p w14:paraId="3863C479"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A crítica mais usual à conclusão acima é de ordem empírica e se estrutura sobre a eficiência operativa do modal ferroviário em diversos países onde se rompeu o monopólio da exploração da malha. É fato. Mas é preciso entender que, na maior parte dos países onde </w:t>
      </w:r>
      <w:r w:rsidRPr="00E44536">
        <w:rPr>
          <w:rFonts w:ascii="Times New Roman" w:hAnsi="Times New Roman"/>
          <w:b/>
          <w:sz w:val="24"/>
          <w:szCs w:val="24"/>
        </w:rPr>
        <w:t xml:space="preserve">hoje </w:t>
      </w:r>
      <w:r w:rsidRPr="00E44536">
        <w:rPr>
          <w:rFonts w:ascii="Times New Roman" w:hAnsi="Times New Roman"/>
          <w:sz w:val="24"/>
          <w:szCs w:val="24"/>
        </w:rPr>
        <w:t xml:space="preserve">isto ocorre a malha ferroviária é antiga e foi construída num período em que </w:t>
      </w:r>
      <w:r w:rsidRPr="00E44536">
        <w:rPr>
          <w:rFonts w:ascii="Times New Roman" w:hAnsi="Times New Roman"/>
          <w:sz w:val="24"/>
          <w:szCs w:val="24"/>
        </w:rPr>
        <w:lastRenderedPageBreak/>
        <w:t xml:space="preserve">era permitida sua exploração sob condições de monopólio. Construir, administrar a via e dividir a exploração </w:t>
      </w:r>
      <w:r w:rsidRPr="00E44536">
        <w:rPr>
          <w:rFonts w:ascii="Times New Roman" w:hAnsi="Times New Roman"/>
          <w:b/>
          <w:sz w:val="24"/>
          <w:szCs w:val="24"/>
        </w:rPr>
        <w:t>não</w:t>
      </w:r>
      <w:r w:rsidRPr="00E44536">
        <w:rPr>
          <w:rFonts w:ascii="Times New Roman" w:hAnsi="Times New Roman"/>
          <w:sz w:val="24"/>
          <w:szCs w:val="24"/>
        </w:rPr>
        <w:t xml:space="preserve"> foi a regra do passado. Na realidade, o processo de regulação da concorrência no sistema ferroviário mundial ainda está longe de se encontrar concluído, tendo em vista a crescente integração das malhas nacionais em redes reguladas por acordos internacionais</w:t>
      </w:r>
      <w:r w:rsidRPr="00E44536">
        <w:rPr>
          <w:rStyle w:val="Refdenotaderodap"/>
          <w:rFonts w:ascii="Times New Roman" w:hAnsi="Times New Roman"/>
          <w:sz w:val="24"/>
          <w:szCs w:val="24"/>
        </w:rPr>
        <w:footnoteReference w:id="7"/>
      </w:r>
      <w:r w:rsidRPr="00E44536">
        <w:rPr>
          <w:rFonts w:ascii="Times New Roman" w:hAnsi="Times New Roman"/>
          <w:sz w:val="24"/>
          <w:szCs w:val="24"/>
        </w:rPr>
        <w:t xml:space="preserve">.  </w:t>
      </w:r>
    </w:p>
    <w:p w14:paraId="66752FB8"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Por isto mesmo, não será fácil impor esta regra ao seleto grupo de empresas brasileiras aptas técnica e financeiramente à realização de investimentos deste porte. Até porque qualquer regulação da concorrência encontra uma resistência muito maior no Brasil de hoje do que nos países capitalistas hoje desenvolvidos. E isto na medida em que a instabilidade jurídica e institucional é muito elevada em nosso país e, por extensão, a confiança no cumprimento dos contratos e na estabilidade das regras é mínima</w:t>
      </w:r>
      <w:r w:rsidRPr="00E44536">
        <w:rPr>
          <w:rStyle w:val="Refdenotaderodap"/>
          <w:rFonts w:ascii="Times New Roman" w:hAnsi="Times New Roman"/>
          <w:sz w:val="24"/>
          <w:szCs w:val="24"/>
        </w:rPr>
        <w:footnoteReference w:id="8"/>
      </w:r>
      <w:r w:rsidRPr="00E44536">
        <w:rPr>
          <w:rFonts w:ascii="Times New Roman" w:hAnsi="Times New Roman"/>
          <w:sz w:val="24"/>
          <w:szCs w:val="24"/>
        </w:rPr>
        <w:t xml:space="preserve">.  </w:t>
      </w:r>
    </w:p>
    <w:p w14:paraId="38B496E9"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Não resta dúvidas de que a disposição a investir do conjunto do empresariado nacional é impactada negativamente em função da instabilidade de regramento. Mas há um setor para o qual o impacto é superior: aqueles intensivos em capital (exigindo grandes investimentos) que operam e ofertam bens e serviços cujos preços são, necessariamente, objeto de regulação e interferência pública. Estes são aqueles que poderíamos chamar de “Sistema de Serviços Industriais e Logísticos de Utilidade Pública”, que vão da geração e distribuição de energia elétrica ao fornecimento de serviços portuários. O impacto será tanto maior quanto maior a participação dos custos fixos nos custos totais. A operação ferroviária (como a geração de energia elétrica) apresenta este padrão de custeio. O que se desdobra numa resistência crônica de construtores/financiadores se comprometerem com um investimento tão arriscado se não lhes for garantido o monopólio do usufruto</w:t>
      </w:r>
      <w:r w:rsidRPr="00E44536">
        <w:rPr>
          <w:rStyle w:val="Refdenotaderodap"/>
          <w:rFonts w:ascii="Times New Roman" w:hAnsi="Times New Roman"/>
          <w:sz w:val="24"/>
          <w:szCs w:val="24"/>
        </w:rPr>
        <w:footnoteReference w:id="9"/>
      </w:r>
      <w:r w:rsidRPr="00E44536">
        <w:rPr>
          <w:rFonts w:ascii="Times New Roman" w:hAnsi="Times New Roman"/>
          <w:sz w:val="24"/>
          <w:szCs w:val="24"/>
        </w:rPr>
        <w:t xml:space="preserve">. </w:t>
      </w:r>
    </w:p>
    <w:p w14:paraId="030E4629"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lastRenderedPageBreak/>
        <w:t>Encontramo-nos, pois, num impasse peculiar no que diz respeito à ampliação e difusão do modal ferroviário no país. Ele é condição para a consolidação da competitividade da agroindústria nacional no mercado global e, por extensão, para a consolidação das principais cadeias propulsivas nacionais. Não obstante, se esta ampliação e difusão se realizar na ausência de um marco regulatório garantidor da concorrência, a queda dos custos de transportes não tende a ser transferida para os usuários e consumidores finais, sendo ineficaz no que diz respeito aos ganhos de competitividade. E na ausência de monopólio os potenciais inversores mostram reticentes à realização das inversões necessárias à consolidação deste modal estratégico.</w:t>
      </w:r>
    </w:p>
    <w:p w14:paraId="55A63A61" w14:textId="77777777" w:rsidR="00E44536" w:rsidRDefault="00E44536" w:rsidP="00AC49D8">
      <w:pPr>
        <w:spacing w:after="120" w:line="360" w:lineRule="auto"/>
        <w:ind w:firstLine="709"/>
        <w:jc w:val="both"/>
        <w:rPr>
          <w:rFonts w:ascii="Times New Roman" w:hAnsi="Times New Roman"/>
          <w:b/>
          <w:sz w:val="24"/>
          <w:szCs w:val="24"/>
        </w:rPr>
      </w:pPr>
      <w:r w:rsidRPr="00E44536">
        <w:rPr>
          <w:rFonts w:ascii="Times New Roman" w:hAnsi="Times New Roman"/>
          <w:b/>
          <w:sz w:val="24"/>
          <w:szCs w:val="24"/>
        </w:rPr>
        <w:t xml:space="preserve">Seja qual for a equação que nos livrará deste impasse, não nos parece sensato apostar em uma solução de curto ou médio prazo.  E isto porque, mesmo que sejamos ágeis (e dificilmente seremos) na definição de um marco regulatório (seja ele qual for), a construção da malha ferroviária mínima necessária ao atendimento das demandas de carga não se realizaria em menos de uma década. É preciso, pois, pensar alternativas. </w:t>
      </w:r>
    </w:p>
    <w:p w14:paraId="651A90E0" w14:textId="637CCA80" w:rsidR="00E44536" w:rsidRPr="00E44536" w:rsidRDefault="00E44536" w:rsidP="00AC49D8">
      <w:pPr>
        <w:spacing w:after="120" w:line="360" w:lineRule="auto"/>
        <w:ind w:firstLine="709"/>
        <w:jc w:val="both"/>
        <w:rPr>
          <w:rFonts w:ascii="Times New Roman" w:hAnsi="Times New Roman"/>
          <w:b/>
          <w:sz w:val="24"/>
          <w:szCs w:val="24"/>
        </w:rPr>
      </w:pPr>
      <w:r>
        <w:rPr>
          <w:rFonts w:ascii="Times New Roman" w:hAnsi="Times New Roman"/>
          <w:b/>
          <w:sz w:val="24"/>
          <w:szCs w:val="24"/>
        </w:rPr>
        <w:t>2</w:t>
      </w:r>
      <w:r w:rsidRPr="00E44536">
        <w:rPr>
          <w:rFonts w:ascii="Times New Roman" w:hAnsi="Times New Roman"/>
          <w:b/>
          <w:sz w:val="24"/>
          <w:szCs w:val="24"/>
        </w:rPr>
        <w:t xml:space="preserve">.3. O modal hidroviário </w:t>
      </w:r>
    </w:p>
    <w:p w14:paraId="4734D8F6"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O modal hidroviário é constituído por dois </w:t>
      </w:r>
      <w:proofErr w:type="spellStart"/>
      <w:r w:rsidRPr="00E44536">
        <w:rPr>
          <w:rFonts w:ascii="Times New Roman" w:hAnsi="Times New Roman"/>
          <w:sz w:val="24"/>
          <w:szCs w:val="24"/>
        </w:rPr>
        <w:t>sub-modais</w:t>
      </w:r>
      <w:proofErr w:type="spellEnd"/>
      <w:r w:rsidRPr="00E44536">
        <w:rPr>
          <w:rFonts w:ascii="Times New Roman" w:hAnsi="Times New Roman"/>
          <w:sz w:val="24"/>
          <w:szCs w:val="24"/>
        </w:rPr>
        <w:t xml:space="preserve">: marítimo e navegação interior. O </w:t>
      </w:r>
      <w:proofErr w:type="spellStart"/>
      <w:r w:rsidRPr="00E44536">
        <w:rPr>
          <w:rFonts w:ascii="Times New Roman" w:hAnsi="Times New Roman"/>
          <w:sz w:val="24"/>
          <w:szCs w:val="24"/>
        </w:rPr>
        <w:t>sub-modal</w:t>
      </w:r>
      <w:proofErr w:type="spellEnd"/>
      <w:r w:rsidRPr="00E44536">
        <w:rPr>
          <w:rFonts w:ascii="Times New Roman" w:hAnsi="Times New Roman"/>
          <w:sz w:val="24"/>
          <w:szCs w:val="24"/>
        </w:rPr>
        <w:t xml:space="preserve"> marítimo subdivide-se em cabotagem (entre portos do mesmo país) e oceânico (entre portos de distintos países). O </w:t>
      </w:r>
      <w:proofErr w:type="spellStart"/>
      <w:r w:rsidRPr="00E44536">
        <w:rPr>
          <w:rFonts w:ascii="Times New Roman" w:hAnsi="Times New Roman"/>
          <w:sz w:val="24"/>
          <w:szCs w:val="24"/>
        </w:rPr>
        <w:t>sub-modal</w:t>
      </w:r>
      <w:proofErr w:type="spellEnd"/>
      <w:r w:rsidRPr="00E44536">
        <w:rPr>
          <w:rFonts w:ascii="Times New Roman" w:hAnsi="Times New Roman"/>
          <w:sz w:val="24"/>
          <w:szCs w:val="24"/>
        </w:rPr>
        <w:t xml:space="preserve"> interior, por sua vez, subdivide-se em fluvial (rios), lacustre (lagos naturais) e hidrovias artificiais (canais, lagos e eclusas construídas pelo homem). A despeito desta classificação admite-se certa sobreposição entre as categorias</w:t>
      </w:r>
      <w:r w:rsidRPr="00E44536">
        <w:rPr>
          <w:rStyle w:val="Refdenotaderodap"/>
          <w:rFonts w:ascii="Times New Roman" w:hAnsi="Times New Roman"/>
          <w:sz w:val="24"/>
          <w:szCs w:val="24"/>
        </w:rPr>
        <w:footnoteReference w:id="10"/>
      </w:r>
      <w:r w:rsidRPr="00E44536">
        <w:rPr>
          <w:rFonts w:ascii="Times New Roman" w:hAnsi="Times New Roman"/>
          <w:sz w:val="24"/>
          <w:szCs w:val="24"/>
        </w:rPr>
        <w:t xml:space="preserve">, ela é útil na medida em que os distintos subsistemas estão submetidos a distintos padrões regulatórios e a distintas autoridades com poder de controle sobre (e, no limite, veto ao) usufruto da via. Além desta divisão básica, os </w:t>
      </w:r>
      <w:r w:rsidRPr="00E44536">
        <w:rPr>
          <w:rFonts w:ascii="Times New Roman" w:hAnsi="Times New Roman"/>
          <w:sz w:val="24"/>
          <w:szCs w:val="24"/>
        </w:rPr>
        <w:lastRenderedPageBreak/>
        <w:t>operadores do modal hidroviário se subdividem em dois grandes grupos: armadores (responsáveis pelo transporte naval) e administradores portuários.</w:t>
      </w:r>
    </w:p>
    <w:p w14:paraId="51742B4F" w14:textId="1421B70F"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O reflexo da diversidade interna do modal hidroviário (expressa na subdivisão em </w:t>
      </w:r>
      <w:proofErr w:type="spellStart"/>
      <w:r w:rsidRPr="00E44536">
        <w:rPr>
          <w:rFonts w:ascii="Times New Roman" w:hAnsi="Times New Roman"/>
          <w:sz w:val="24"/>
          <w:szCs w:val="24"/>
        </w:rPr>
        <w:t>sub-modais</w:t>
      </w:r>
      <w:proofErr w:type="spellEnd"/>
      <w:r w:rsidRPr="00E44536">
        <w:rPr>
          <w:rFonts w:ascii="Times New Roman" w:hAnsi="Times New Roman"/>
          <w:sz w:val="24"/>
          <w:szCs w:val="24"/>
        </w:rPr>
        <w:t xml:space="preserve"> e classes) é a diversidade de empresas e agentes que operam em seu interior. Assim como a ferrovia é um monopólio natural, na ausência de regulação governamental restritiva, a navegação fluvial para transporte humano e de pequenas cargas é um sistema de livre entrada. Mesmo a navegação oceânica de longo curso – que exige equipamentos de alto valor e elevado capital circulante – tem características de mercado pulverizado, pois a concorrência em seu interior é global</w:t>
      </w:r>
      <w:r w:rsidRPr="00E44536">
        <w:rPr>
          <w:rStyle w:val="Refdenotaderodap"/>
          <w:rFonts w:ascii="Times New Roman" w:hAnsi="Times New Roman"/>
          <w:sz w:val="24"/>
          <w:szCs w:val="24"/>
        </w:rPr>
        <w:footnoteReference w:id="11"/>
      </w:r>
      <w:r w:rsidRPr="00E44536">
        <w:rPr>
          <w:rFonts w:ascii="Times New Roman" w:hAnsi="Times New Roman"/>
          <w:sz w:val="24"/>
          <w:szCs w:val="24"/>
        </w:rPr>
        <w:t xml:space="preserve">. Também os equipamentos portuários apresentam elevada diversidade, permitindo o ingresso de operadores de distintos volumes de capital em portos internos ou portos marítimos especializados em cabotagem. Esta diversidade interior limita a </w:t>
      </w:r>
      <w:proofErr w:type="spellStart"/>
      <w:r w:rsidRPr="00E44536">
        <w:rPr>
          <w:rFonts w:ascii="Times New Roman" w:hAnsi="Times New Roman"/>
          <w:sz w:val="24"/>
          <w:szCs w:val="24"/>
        </w:rPr>
        <w:t>oligopolização</w:t>
      </w:r>
      <w:proofErr w:type="spellEnd"/>
      <w:r w:rsidRPr="00E44536">
        <w:rPr>
          <w:rFonts w:ascii="Times New Roman" w:hAnsi="Times New Roman"/>
          <w:sz w:val="24"/>
          <w:szCs w:val="24"/>
        </w:rPr>
        <w:t xml:space="preserve"> do setor e, por extensão, o poder de precificação dos agentes operadores. </w:t>
      </w:r>
    </w:p>
    <w:p w14:paraId="70AE5CA6"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Ora, tal como os modais aeroviário e ferroviário, o modal hidroviário caracteriza-se pela elevada relação “custo fixo / custo variável”. No curto e no médio prazo, praticamente todas as despesas de um porto ou de um navio cargueiro são fixas. E tal como no sistema aeroviário, os deslocamentos de “retorno” são impositivos. Um navio cargueiro que chegou ao seu porto de destino e precisa retornar para o porto de origem está disposto a aceitar cargas a qualquer preço. Até porque alguma carga é necessária para garantir a estabilidade do navio. De sorte que os riscos de uma guerra de preços são extraordinariamente elevados neste modal. </w:t>
      </w:r>
    </w:p>
    <w:p w14:paraId="6C253C2C" w14:textId="45717B6C"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O desdobramento positivo da elevada concorrência interna ao modal hidroviário é o seu padrão de precificação: </w:t>
      </w:r>
      <w:r w:rsidRPr="00E44536">
        <w:rPr>
          <w:rFonts w:ascii="Times New Roman" w:hAnsi="Times New Roman"/>
          <w:b/>
          <w:sz w:val="24"/>
          <w:szCs w:val="24"/>
        </w:rPr>
        <w:t xml:space="preserve">os custos menores do transporte deste modal tendem </w:t>
      </w:r>
      <w:r w:rsidRPr="00E44536">
        <w:rPr>
          <w:rFonts w:ascii="Times New Roman" w:hAnsi="Times New Roman"/>
          <w:b/>
          <w:sz w:val="24"/>
          <w:szCs w:val="24"/>
        </w:rPr>
        <w:lastRenderedPageBreak/>
        <w:t>a ser integralmente transferidos para os usuários (por oposição ao</w:t>
      </w:r>
      <w:r>
        <w:rPr>
          <w:rFonts w:ascii="Times New Roman" w:hAnsi="Times New Roman"/>
          <w:b/>
          <w:sz w:val="24"/>
          <w:szCs w:val="24"/>
        </w:rPr>
        <w:t>s</w:t>
      </w:r>
      <w:r w:rsidRPr="00E44536">
        <w:rPr>
          <w:rFonts w:ascii="Times New Roman" w:hAnsi="Times New Roman"/>
          <w:b/>
          <w:sz w:val="24"/>
          <w:szCs w:val="24"/>
        </w:rPr>
        <w:t xml:space="preserve"> lucros monopolistas dos operadores ferroviários). </w:t>
      </w:r>
      <w:r w:rsidRPr="00E44536">
        <w:rPr>
          <w:rFonts w:ascii="Times New Roman" w:hAnsi="Times New Roman"/>
          <w:sz w:val="24"/>
          <w:szCs w:val="24"/>
        </w:rPr>
        <w:t>E é virtualmente impossível sobrestimar a importância deste desdobramento. Afinal, uma barcaça padrão é capaz de transportar 1200 toneladas, enquanto um vagão de trem comporta até 50 toneladas e um caminhão padrão comporta em torno de 30 toneladas. Assim, um comboio com 5 barcaças comporta uma carga equivalente a pouco mais de 120 vagões ferroviários e em torno de 200 caminhões, gerando economias extraordinárias em pessoal ocupado. Além disso, os custos de implementação e manutenção de uma hidrovia são muito menores do que os custos de implantação ferroviária e de manutenção rodoviária. E, por fim, os dispêndios com combustível são significativamente inferiores: o transporte de uma tonelada de carga por 1000 quilômetros exige 5 litros de combustível no transporte hidroviário, 10 litros no transporte ferroviário e 100 litros no transporte rodoviário</w:t>
      </w:r>
      <w:r w:rsidRPr="00E44536">
        <w:rPr>
          <w:rStyle w:val="Refdenotaderodap"/>
          <w:rFonts w:ascii="Times New Roman" w:hAnsi="Times New Roman"/>
          <w:sz w:val="24"/>
          <w:szCs w:val="24"/>
        </w:rPr>
        <w:footnoteReference w:id="12"/>
      </w:r>
      <w:r w:rsidRPr="00E44536">
        <w:rPr>
          <w:rFonts w:ascii="Times New Roman" w:hAnsi="Times New Roman"/>
          <w:sz w:val="24"/>
          <w:szCs w:val="24"/>
        </w:rPr>
        <w:t xml:space="preserve">. </w:t>
      </w:r>
    </w:p>
    <w:p w14:paraId="6B82452A" w14:textId="77777777" w:rsidR="00E44536" w:rsidRPr="00E44536" w:rsidRDefault="00E44536" w:rsidP="00AC49D8">
      <w:pPr>
        <w:spacing w:after="120" w:line="360" w:lineRule="auto"/>
        <w:ind w:firstLine="709"/>
        <w:jc w:val="both"/>
        <w:rPr>
          <w:rFonts w:ascii="Times New Roman" w:hAnsi="Times New Roman"/>
          <w:b/>
          <w:sz w:val="24"/>
          <w:szCs w:val="24"/>
        </w:rPr>
      </w:pPr>
      <w:r w:rsidRPr="00E44536">
        <w:rPr>
          <w:rFonts w:ascii="Times New Roman" w:hAnsi="Times New Roman"/>
          <w:b/>
          <w:sz w:val="24"/>
          <w:szCs w:val="24"/>
        </w:rPr>
        <w:t xml:space="preserve">O mais importante, contudo, é o efeito dos preços do transporte hidroviário sobre os demais modais: ao emergir como competidor do modal ferroviário, a hidrovia deprime o (normalmente elevado) grau de monopólio deste modal, impondo a redução de seus preços de oferta. E com a queda dos preços na ferrovia, os operadores rodoviários (em especial as empresas concessionárias de rodovias </w:t>
      </w:r>
      <w:proofErr w:type="spellStart"/>
      <w:r w:rsidRPr="00E44536">
        <w:rPr>
          <w:rFonts w:ascii="Times New Roman" w:hAnsi="Times New Roman"/>
          <w:b/>
          <w:sz w:val="24"/>
          <w:szCs w:val="24"/>
        </w:rPr>
        <w:t>pedagiadas</w:t>
      </w:r>
      <w:proofErr w:type="spellEnd"/>
      <w:r w:rsidRPr="00E44536">
        <w:rPr>
          <w:rFonts w:ascii="Times New Roman" w:hAnsi="Times New Roman"/>
          <w:b/>
          <w:sz w:val="24"/>
          <w:szCs w:val="24"/>
        </w:rPr>
        <w:t xml:space="preserve">) veem-se obrigadas a deprimir seus preços e margens de lucro, transferindo os ganhos de produtividade para os usuários iniciais (ofertantes de carga) e finais (consumidores). </w:t>
      </w:r>
    </w:p>
    <w:p w14:paraId="7FA44CB9"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Infelizmente, a compreensão da função estratégica do modal hidroviário para a redução dos custos de transporte e alavancagem da competitividade do conjunto das cadeias exportadoras nacionais (e, em especial, das cadeias agroindustriais e extrativas minerais) ainda é muito pouco difundida. O que se desdobra na resistência de parcela expressiva dos agentes públicos responsáveis pela gestão dos recursos hídricos em incorporar as demandas de operadores logísticos na administração dos mesmos. Em especial dos mananciais de “água doce”, que são objeto de expressiva demanda para consumo pessoal e insumo produtivo rural e urbano e para geração de energia hidrelétrica. Assim é que se fosse explorado todo o enorme potencial de transporte de cargas da </w:t>
      </w:r>
      <w:r w:rsidRPr="00E44536">
        <w:rPr>
          <w:rFonts w:ascii="Times New Roman" w:hAnsi="Times New Roman"/>
          <w:sz w:val="24"/>
          <w:szCs w:val="24"/>
        </w:rPr>
        <w:lastRenderedPageBreak/>
        <w:t xml:space="preserve">hidrovia Tietê-Paraná-Prata (para dar um exemplo expressivo) as exigências de calado imporiam restrições à utilização do manancial para a geração de energia elétrica em Itaipu e Ilha Solteira e para o atendimento das demandas empresariais e familiares de água potável ao longo de um território que conta com metrópoles da expressão de São Paulo e Buenos Ayres. </w:t>
      </w:r>
    </w:p>
    <w:p w14:paraId="5D2047C5"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O resultado deste imbróglio é que </w:t>
      </w:r>
      <w:r w:rsidRPr="00E44536">
        <w:rPr>
          <w:rFonts w:ascii="Times New Roman" w:hAnsi="Times New Roman"/>
          <w:b/>
          <w:sz w:val="24"/>
          <w:szCs w:val="24"/>
          <w:u w:val="single"/>
        </w:rPr>
        <w:t xml:space="preserve">o potencial do modal hidroviário para deprimir os custos logísticos em geral </w:t>
      </w:r>
      <w:r w:rsidRPr="00E44536">
        <w:rPr>
          <w:rFonts w:ascii="Times New Roman" w:hAnsi="Times New Roman"/>
          <w:b/>
          <w:sz w:val="24"/>
          <w:szCs w:val="24"/>
        </w:rPr>
        <w:t xml:space="preserve">(afetando, insista-se, o processo de precificação dos demais modais) </w:t>
      </w:r>
      <w:r w:rsidRPr="00E44536">
        <w:rPr>
          <w:rFonts w:ascii="Times New Roman" w:hAnsi="Times New Roman"/>
          <w:b/>
          <w:sz w:val="24"/>
          <w:szCs w:val="24"/>
          <w:u w:val="single"/>
        </w:rPr>
        <w:t>tende a ser deprimido pela regulação pública</w:t>
      </w:r>
      <w:r w:rsidRPr="00E44536">
        <w:rPr>
          <w:rFonts w:ascii="Times New Roman" w:hAnsi="Times New Roman"/>
          <w:b/>
          <w:sz w:val="24"/>
          <w:szCs w:val="24"/>
        </w:rPr>
        <w:t>.</w:t>
      </w:r>
      <w:r w:rsidRPr="00E44536">
        <w:rPr>
          <w:rFonts w:ascii="Times New Roman" w:hAnsi="Times New Roman"/>
          <w:sz w:val="24"/>
          <w:szCs w:val="24"/>
        </w:rPr>
        <w:t xml:space="preserve"> Pois é o Estado que regula o uso de todo o sistema hidroviário nacional com vistas a atender três objetivos precípuos: 1) </w:t>
      </w:r>
      <w:r w:rsidRPr="00E44536">
        <w:rPr>
          <w:rFonts w:ascii="Times New Roman" w:hAnsi="Times New Roman"/>
          <w:b/>
          <w:sz w:val="24"/>
          <w:szCs w:val="24"/>
        </w:rPr>
        <w:t>impedir</w:t>
      </w:r>
      <w:r w:rsidRPr="00E44536">
        <w:rPr>
          <w:rFonts w:ascii="Times New Roman" w:hAnsi="Times New Roman"/>
          <w:sz w:val="24"/>
          <w:szCs w:val="24"/>
        </w:rPr>
        <w:t xml:space="preserve"> o transporte de mercadorias ilegais (contrabando, drogas ilícitas, armas, cargas roubadas, etc.), o translado e o ingresso (no país ou em outra região) de agentes patogênicos ou que imponham risco ao meio ambiente e a evasão fiscal sobre os serviços de transporte e comercialização de mercadorias; 2) </w:t>
      </w:r>
      <w:r w:rsidRPr="00E44536">
        <w:rPr>
          <w:rFonts w:ascii="Times New Roman" w:hAnsi="Times New Roman"/>
          <w:b/>
          <w:sz w:val="24"/>
          <w:szCs w:val="24"/>
        </w:rPr>
        <w:t>garantir</w:t>
      </w:r>
      <w:r w:rsidRPr="00E44536">
        <w:rPr>
          <w:rFonts w:ascii="Times New Roman" w:hAnsi="Times New Roman"/>
          <w:sz w:val="24"/>
          <w:szCs w:val="24"/>
        </w:rPr>
        <w:t xml:space="preserve"> a consistência do uso das hidrovias internas com as demais funções dos sistemas fluvial: atendimento das demandas urbanas rurais de água para consumo humano e insumo produtivo, geração de energia hidrelétrica, pesca e equilíbrio do ecossistema; e, finalmente, 3) </w:t>
      </w:r>
      <w:r w:rsidRPr="00E44536">
        <w:rPr>
          <w:rFonts w:ascii="Times New Roman" w:hAnsi="Times New Roman"/>
          <w:b/>
          <w:sz w:val="24"/>
          <w:szCs w:val="24"/>
        </w:rPr>
        <w:t>promover</w:t>
      </w:r>
      <w:r w:rsidRPr="00E44536">
        <w:rPr>
          <w:rFonts w:ascii="Times New Roman" w:hAnsi="Times New Roman"/>
          <w:sz w:val="24"/>
          <w:szCs w:val="24"/>
        </w:rPr>
        <w:t xml:space="preserve"> a sustentabilidade econômica dos operadores do modal hidroviário através do controle da concorrência oportunista e da prática de dumping em seu interior</w:t>
      </w:r>
      <w:r w:rsidRPr="00E44536">
        <w:rPr>
          <w:rStyle w:val="Refdenotaderodap"/>
          <w:rFonts w:ascii="Times New Roman" w:hAnsi="Times New Roman"/>
          <w:sz w:val="24"/>
          <w:szCs w:val="24"/>
        </w:rPr>
        <w:footnoteReference w:id="13"/>
      </w:r>
      <w:r w:rsidRPr="00E44536">
        <w:rPr>
          <w:rFonts w:ascii="Times New Roman" w:hAnsi="Times New Roman"/>
          <w:sz w:val="24"/>
          <w:szCs w:val="24"/>
        </w:rPr>
        <w:t>.</w:t>
      </w:r>
    </w:p>
    <w:p w14:paraId="3A6E466E"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A adequada compreensão dos conflitos de interesse sobre os recursos hídricos e seus rebatimentos no planejamento logístico nacional é fundamental para a superação de interpretações simplistas acerca do nosso “</w:t>
      </w:r>
      <w:proofErr w:type="spellStart"/>
      <w:r w:rsidRPr="00E44536">
        <w:rPr>
          <w:rFonts w:ascii="Times New Roman" w:hAnsi="Times New Roman"/>
          <w:sz w:val="24"/>
          <w:szCs w:val="24"/>
        </w:rPr>
        <w:t>rodoviarismo</w:t>
      </w:r>
      <w:proofErr w:type="spellEnd"/>
      <w:r w:rsidRPr="00E44536">
        <w:rPr>
          <w:rFonts w:ascii="Times New Roman" w:hAnsi="Times New Roman"/>
          <w:sz w:val="24"/>
          <w:szCs w:val="24"/>
        </w:rPr>
        <w:t xml:space="preserve">”. Mais do que subordinação aos interesses da indústria automotiva ou de falta de planejamento público, as hidrovias foram secundarizadas (quando não inviabilizadas) pelo </w:t>
      </w:r>
      <w:proofErr w:type="spellStart"/>
      <w:r w:rsidRPr="00E44536">
        <w:rPr>
          <w:rFonts w:ascii="Times New Roman" w:hAnsi="Times New Roman"/>
          <w:sz w:val="24"/>
          <w:szCs w:val="24"/>
        </w:rPr>
        <w:t>privilegiamento</w:t>
      </w:r>
      <w:proofErr w:type="spellEnd"/>
      <w:r w:rsidRPr="00E44536">
        <w:rPr>
          <w:rFonts w:ascii="Times New Roman" w:hAnsi="Times New Roman"/>
          <w:sz w:val="24"/>
          <w:szCs w:val="24"/>
        </w:rPr>
        <w:t xml:space="preserve"> da geração de energia elétrica e do abastecimento urbano por parte do Estado e pelo </w:t>
      </w:r>
      <w:proofErr w:type="spellStart"/>
      <w:r w:rsidRPr="00E44536">
        <w:rPr>
          <w:rFonts w:ascii="Times New Roman" w:hAnsi="Times New Roman"/>
          <w:sz w:val="24"/>
          <w:szCs w:val="24"/>
        </w:rPr>
        <w:t>privilegiamento</w:t>
      </w:r>
      <w:proofErr w:type="spellEnd"/>
      <w:r w:rsidRPr="00E44536">
        <w:rPr>
          <w:rFonts w:ascii="Times New Roman" w:hAnsi="Times New Roman"/>
          <w:sz w:val="24"/>
          <w:szCs w:val="24"/>
        </w:rPr>
        <w:t xml:space="preserve"> de operações porta-porta (sem transbordo e com maior flexibilidade de rotas) por parte de demandantes e operadores logísticos. </w:t>
      </w:r>
    </w:p>
    <w:p w14:paraId="3390B916"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lastRenderedPageBreak/>
        <w:t xml:space="preserve">A crescente interiorização da economia nacional e o aprofundamento de sua especialização agroindustrial e extrativa mineral, contudo, levaram à crítica da estratégia logística dominante ao longo do século XX. E o grande marco desta inflexão é a Lei 12.815, de junho de 2013, que busca promover a concorrência entre portos e operadores portuários através da simplificação das exigências para instalação de terminais de uso privado e sua liberação para operarem cargas de terceiros. </w:t>
      </w:r>
    </w:p>
    <w:p w14:paraId="521953A3"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Os efeitos do novo marco regulatório já se fazem notar nos ganhos de eficiência do sistema portuário brasileiro. Mas ainda não renderam todos os frutos esperados no que diz respeito à revitalização das hidrovias interiores. E isto – por contraditório que possa parecer – em função da enorme potencialidade do modal hidroviário. Como vimos acima, um pequeno comboio com 5 barcaças equivale a 200 caminhões de carga. Ora, nenhum comboio será desviado para um novo porto se não estiver seguro de encontrar, no destino, o volume de carga necessário à rentabilidade da operação. E os ofertantes de carga não destinarão 200 caminhões a um porto novo se não estiverem seguros de que encontrarão as embarcações necessárias ao adequado envio de seu carregamento. A solução deste imbróglio pressupõe ação pública e organização social.</w:t>
      </w:r>
    </w:p>
    <w:p w14:paraId="30AA7B78" w14:textId="6ECE0BC5" w:rsidR="00E44536" w:rsidRPr="00E44536" w:rsidRDefault="00E44536" w:rsidP="00AC49D8">
      <w:pPr>
        <w:spacing w:after="120" w:line="360" w:lineRule="auto"/>
        <w:ind w:firstLine="709"/>
        <w:jc w:val="both"/>
        <w:rPr>
          <w:rFonts w:ascii="Times New Roman" w:hAnsi="Times New Roman"/>
          <w:b/>
          <w:sz w:val="24"/>
          <w:szCs w:val="24"/>
        </w:rPr>
      </w:pPr>
      <w:r>
        <w:rPr>
          <w:rFonts w:ascii="Times New Roman" w:hAnsi="Times New Roman"/>
          <w:b/>
          <w:sz w:val="24"/>
          <w:szCs w:val="24"/>
        </w:rPr>
        <w:t>2.4.</w:t>
      </w:r>
      <w:r w:rsidRPr="00E44536">
        <w:rPr>
          <w:rFonts w:ascii="Times New Roman" w:hAnsi="Times New Roman"/>
          <w:b/>
          <w:sz w:val="24"/>
          <w:szCs w:val="24"/>
        </w:rPr>
        <w:t xml:space="preserve"> O modal rodoviário </w:t>
      </w:r>
    </w:p>
    <w:p w14:paraId="174F699C"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O modal rodoviário apresenta duas características essenciais: 1) é o único modal porta-a-porta; 2) seu custo de implantação é mínimo </w:t>
      </w:r>
      <w:r w:rsidRPr="00E44536">
        <w:rPr>
          <w:rFonts w:ascii="Times New Roman" w:hAnsi="Times New Roman"/>
          <w:i/>
          <w:sz w:val="24"/>
          <w:szCs w:val="24"/>
        </w:rPr>
        <w:t>vis-à-vis</w:t>
      </w:r>
      <w:r w:rsidRPr="00E44536">
        <w:rPr>
          <w:rFonts w:ascii="Times New Roman" w:hAnsi="Times New Roman"/>
          <w:sz w:val="24"/>
          <w:szCs w:val="24"/>
        </w:rPr>
        <w:t xml:space="preserve"> os demais. Estas duas características estão no centro de sua eleição como modal dominante no Brasil. A continuada ampliação da fronteira em direção ao noroeste, com a consequente redefinição da hierarquia dos territórios produtores de matérias-primas agroindustriais e minerais impôs o </w:t>
      </w:r>
      <w:proofErr w:type="spellStart"/>
      <w:r w:rsidRPr="00E44536">
        <w:rPr>
          <w:rFonts w:ascii="Times New Roman" w:hAnsi="Times New Roman"/>
          <w:sz w:val="24"/>
          <w:szCs w:val="24"/>
        </w:rPr>
        <w:t>privilegiamento</w:t>
      </w:r>
      <w:proofErr w:type="spellEnd"/>
      <w:r w:rsidRPr="00E44536">
        <w:rPr>
          <w:rFonts w:ascii="Times New Roman" w:hAnsi="Times New Roman"/>
          <w:sz w:val="24"/>
          <w:szCs w:val="24"/>
        </w:rPr>
        <w:t xml:space="preserve"> do modal de maior flexibilidade e menor custo de implantação. Subsidiariamente, contribuiu para o </w:t>
      </w:r>
      <w:proofErr w:type="spellStart"/>
      <w:r w:rsidRPr="00E44536">
        <w:rPr>
          <w:rFonts w:ascii="Times New Roman" w:hAnsi="Times New Roman"/>
          <w:sz w:val="24"/>
          <w:szCs w:val="24"/>
        </w:rPr>
        <w:t>privilegiamento</w:t>
      </w:r>
      <w:proofErr w:type="spellEnd"/>
      <w:r w:rsidRPr="00E44536">
        <w:rPr>
          <w:rFonts w:ascii="Times New Roman" w:hAnsi="Times New Roman"/>
          <w:sz w:val="24"/>
          <w:szCs w:val="24"/>
        </w:rPr>
        <w:t xml:space="preserve"> deste modal: 3) a possibilidade de evasão aos postos rodoviários de fiscalização e exação tributária (especialmente nas regiões de fronteira, cujos custos de transporte já eram superiores) pelo uso de rotas alternativas e estradas vicinais; 4) a sinergia entre este modal e a indústria </w:t>
      </w:r>
      <w:proofErr w:type="spellStart"/>
      <w:r w:rsidRPr="00E44536">
        <w:rPr>
          <w:rFonts w:ascii="Times New Roman" w:hAnsi="Times New Roman"/>
          <w:sz w:val="24"/>
          <w:szCs w:val="24"/>
        </w:rPr>
        <w:t>metal-mecânica</w:t>
      </w:r>
      <w:proofErr w:type="spellEnd"/>
      <w:r w:rsidRPr="00E44536">
        <w:rPr>
          <w:rFonts w:ascii="Times New Roman" w:hAnsi="Times New Roman"/>
          <w:sz w:val="24"/>
          <w:szCs w:val="24"/>
        </w:rPr>
        <w:t xml:space="preserve"> e de material de transporte, que permitiu a articulação dos interesses econômicos de grupos empresariais multinacionais a interesses de parcela do capital nacional (produtores </w:t>
      </w:r>
      <w:r w:rsidRPr="00E44536">
        <w:rPr>
          <w:rFonts w:ascii="Times New Roman" w:hAnsi="Times New Roman"/>
          <w:sz w:val="24"/>
          <w:szCs w:val="24"/>
        </w:rPr>
        <w:lastRenderedPageBreak/>
        <w:t xml:space="preserve">de laminados de aço e autopeças, revendedores, financiadores, firmas de construção civil rodoviárias, etc.). </w:t>
      </w:r>
    </w:p>
    <w:p w14:paraId="5C93564B"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Mas se </w:t>
      </w:r>
      <w:r w:rsidRPr="00E44536">
        <w:rPr>
          <w:rFonts w:ascii="Times New Roman" w:hAnsi="Times New Roman"/>
          <w:b/>
          <w:sz w:val="24"/>
          <w:szCs w:val="24"/>
        </w:rPr>
        <w:t>houve racionalidade na opção rodoviária no passado</w:t>
      </w:r>
      <w:r w:rsidRPr="00E44536">
        <w:rPr>
          <w:rFonts w:ascii="Times New Roman" w:hAnsi="Times New Roman"/>
          <w:sz w:val="24"/>
          <w:szCs w:val="24"/>
        </w:rPr>
        <w:t xml:space="preserve">, não há mais espaço para a sustentação do </w:t>
      </w:r>
      <w:proofErr w:type="spellStart"/>
      <w:r w:rsidRPr="00E44536">
        <w:rPr>
          <w:rFonts w:ascii="Times New Roman" w:hAnsi="Times New Roman"/>
          <w:sz w:val="24"/>
          <w:szCs w:val="24"/>
        </w:rPr>
        <w:t>rodoviarismo</w:t>
      </w:r>
      <w:proofErr w:type="spellEnd"/>
      <w:r w:rsidRPr="00E44536">
        <w:rPr>
          <w:rFonts w:ascii="Times New Roman" w:hAnsi="Times New Roman"/>
          <w:sz w:val="24"/>
          <w:szCs w:val="24"/>
        </w:rPr>
        <w:t xml:space="preserve">. Em primeiro lugar, porque </w:t>
      </w:r>
      <w:r w:rsidRPr="00E44536">
        <w:rPr>
          <w:rFonts w:ascii="Times New Roman" w:hAnsi="Times New Roman"/>
          <w:b/>
          <w:sz w:val="24"/>
          <w:szCs w:val="24"/>
        </w:rPr>
        <w:t>o “outro lado” dos menores custos de implantação dos equipamentos rodoviários é a sua baixa durabilidade e, por extensão, os elevados custos de manutenção da malha.</w:t>
      </w:r>
      <w:r w:rsidRPr="00E44536">
        <w:rPr>
          <w:rFonts w:ascii="Times New Roman" w:hAnsi="Times New Roman"/>
          <w:sz w:val="24"/>
          <w:szCs w:val="24"/>
        </w:rPr>
        <w:t xml:space="preserve"> Estes custos são tão mais elevados e as necessidades de reparação são tão mais frequentes quanto maior a intensidade de uso da rodovia para o transporte de carga. </w:t>
      </w:r>
    </w:p>
    <w:p w14:paraId="1B62662C"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A partir dos anos 80 do século passado os custos de manutenção da malha rodoviária já constituída tornam-se explosivos, ao mesmo tempo em que a capacidade de investimento do setor público em equipamentos de transporte cai abruptamente com o fim do “Milagre” e a emergência da crise da dívida externa. </w:t>
      </w:r>
      <w:proofErr w:type="gramStart"/>
      <w:r w:rsidRPr="00E44536">
        <w:rPr>
          <w:rFonts w:ascii="Times New Roman" w:hAnsi="Times New Roman"/>
          <w:sz w:val="24"/>
          <w:szCs w:val="24"/>
        </w:rPr>
        <w:t>A estas duas determinações</w:t>
      </w:r>
      <w:proofErr w:type="gramEnd"/>
      <w:r w:rsidRPr="00E44536">
        <w:rPr>
          <w:rFonts w:ascii="Times New Roman" w:hAnsi="Times New Roman"/>
          <w:sz w:val="24"/>
          <w:szCs w:val="24"/>
        </w:rPr>
        <w:t xml:space="preserve"> veio a se somar a Constituição Cidadã de 1988, que abriu um leque significativo de novas responsabilidades para o setor público (em especial, com o sistema de saúde e previdência) sem a devida base fiscal-arrecadatória. Por fim, o Plano Real e a Lei de Responsabilidade Fiscal comprometeram o Estado com a geração de superávits primários para a cobertura de pelo menos uma parte dos cronicamente elevados juros da dívida pública</w:t>
      </w:r>
      <w:r w:rsidRPr="00E44536">
        <w:rPr>
          <w:rStyle w:val="Refdenotaderodap"/>
          <w:rFonts w:ascii="Times New Roman" w:hAnsi="Times New Roman"/>
          <w:sz w:val="24"/>
          <w:szCs w:val="24"/>
        </w:rPr>
        <w:footnoteReference w:id="14"/>
      </w:r>
      <w:r w:rsidRPr="00E44536">
        <w:rPr>
          <w:rFonts w:ascii="Times New Roman" w:hAnsi="Times New Roman"/>
          <w:sz w:val="24"/>
          <w:szCs w:val="24"/>
        </w:rPr>
        <w:t xml:space="preserve">. O desdobramento deste conjunto de movimentos foi a inviabilização do padrão vigente entre 1930 e 1980 na expansão, manutenção do modal rodoviário. </w:t>
      </w:r>
    </w:p>
    <w:p w14:paraId="28F6612E"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Durante os anos 80, enquanto a crise fiscal ainda era percebida como momentânea, os investimentos públicos e os dispêndios com manutenção da malha rodoviária foram fortemente deprimidos. Simultaneamente, o avanço da fronteira agrícola impunha demandas crescentes de investimentos, que eram atendidas de forma cronicamente insatisfatória e insuficiente. A partir dos anos 90, consolidou-se a percepção de que o sistema logístico nacional – envolvendo </w:t>
      </w:r>
      <w:proofErr w:type="gramStart"/>
      <w:r w:rsidRPr="00E44536">
        <w:rPr>
          <w:rFonts w:ascii="Times New Roman" w:hAnsi="Times New Roman"/>
          <w:sz w:val="24"/>
          <w:szCs w:val="24"/>
        </w:rPr>
        <w:t>os conjunto</w:t>
      </w:r>
      <w:proofErr w:type="gramEnd"/>
      <w:r w:rsidRPr="00E44536">
        <w:rPr>
          <w:rFonts w:ascii="Times New Roman" w:hAnsi="Times New Roman"/>
          <w:sz w:val="24"/>
          <w:szCs w:val="24"/>
        </w:rPr>
        <w:t xml:space="preserve"> dos modais – não poderia </w:t>
      </w:r>
      <w:r w:rsidRPr="00E44536">
        <w:rPr>
          <w:rFonts w:ascii="Times New Roman" w:hAnsi="Times New Roman"/>
          <w:sz w:val="24"/>
          <w:szCs w:val="24"/>
        </w:rPr>
        <w:lastRenderedPageBreak/>
        <w:t xml:space="preserve">mais ser operado exclusivamente pelo setor público, mas deveria ter sua gestão compartilhada sob a forma de </w:t>
      </w:r>
      <w:proofErr w:type="spellStart"/>
      <w:r w:rsidRPr="00E44536">
        <w:rPr>
          <w:rFonts w:ascii="Times New Roman" w:hAnsi="Times New Roman"/>
          <w:sz w:val="24"/>
          <w:szCs w:val="24"/>
        </w:rPr>
        <w:t>PPPs</w:t>
      </w:r>
      <w:proofErr w:type="spellEnd"/>
      <w:r w:rsidRPr="00E44536">
        <w:rPr>
          <w:rFonts w:ascii="Times New Roman" w:hAnsi="Times New Roman"/>
          <w:sz w:val="24"/>
          <w:szCs w:val="24"/>
        </w:rPr>
        <w:t xml:space="preserve"> e/ou concessões. </w:t>
      </w:r>
    </w:p>
    <w:p w14:paraId="0EFAE839"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Não parece haver mais espaço para dúvidas acerca da pertinência desta conclusão. A despeito da resistência inicial manifestada por partidos e organizações à esquerda do espectro político, os governos petistas de Lula e Dilma vieram a </w:t>
      </w:r>
      <w:proofErr w:type="spellStart"/>
      <w:r w:rsidRPr="00E44536">
        <w:rPr>
          <w:rFonts w:ascii="Times New Roman" w:hAnsi="Times New Roman"/>
          <w:sz w:val="24"/>
          <w:szCs w:val="24"/>
        </w:rPr>
        <w:t>por</w:t>
      </w:r>
      <w:proofErr w:type="spellEnd"/>
      <w:r w:rsidRPr="00E44536">
        <w:rPr>
          <w:rFonts w:ascii="Times New Roman" w:hAnsi="Times New Roman"/>
          <w:sz w:val="24"/>
          <w:szCs w:val="24"/>
        </w:rPr>
        <w:t xml:space="preserve"> uma “pá de cal” nas propostas de reestatização integral da exploração dos equipamentos logísticos fixos (rodovias, ferrovias, portos e aeroportos). </w:t>
      </w:r>
      <w:r w:rsidRPr="00E44536">
        <w:rPr>
          <w:rFonts w:ascii="Times New Roman" w:hAnsi="Times New Roman"/>
          <w:b/>
          <w:sz w:val="24"/>
          <w:szCs w:val="24"/>
        </w:rPr>
        <w:t xml:space="preserve">Não obstante, também é preciso entender a pertinência – mesmo que parcial – das críticas ao padrão de concessão rodoviária adotada a partir de meados dos anos 90. A compreensão deste ponto é absolutamente central, na medida em que estamos vivendo, atualmente, um grande debate sobre a pertinência ou impertinência da renovação das concessões dos anos 90 e início dos anos 2000 nos mesmos termos em que elas foram objeto de contratação no período. </w:t>
      </w:r>
    </w:p>
    <w:p w14:paraId="4AAB8343"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Tal como vimos insistindo, a principal característica do modal rodoviário é o baixo custo de implantação, que lhe empresta extraordinária plasticidade e flexibilidade. Ora, enquanto a oferta de equipamentos rodoviários era exclusiva responsabilidade do Estado, as estradas iam sendo abertas, asfaltadas, duplicadas, qualificadas e – acima de tudo – </w:t>
      </w:r>
      <w:r w:rsidRPr="00E44536">
        <w:rPr>
          <w:rFonts w:ascii="Times New Roman" w:hAnsi="Times New Roman"/>
          <w:b/>
          <w:sz w:val="24"/>
          <w:szCs w:val="24"/>
        </w:rPr>
        <w:t>contestadas</w:t>
      </w:r>
      <w:r w:rsidRPr="00E44536">
        <w:rPr>
          <w:rFonts w:ascii="Times New Roman" w:hAnsi="Times New Roman"/>
          <w:sz w:val="24"/>
          <w:szCs w:val="24"/>
        </w:rPr>
        <w:t xml:space="preserve"> (pela abertura de vias alternativas ligando os mesmos destinos</w:t>
      </w:r>
      <w:r w:rsidRPr="00E44536">
        <w:rPr>
          <w:rStyle w:val="Refdenotaderodap"/>
          <w:rFonts w:ascii="Times New Roman" w:hAnsi="Times New Roman"/>
          <w:sz w:val="24"/>
          <w:szCs w:val="24"/>
        </w:rPr>
        <w:footnoteReference w:id="15"/>
      </w:r>
      <w:r w:rsidRPr="00E44536">
        <w:rPr>
          <w:rFonts w:ascii="Times New Roman" w:hAnsi="Times New Roman"/>
          <w:sz w:val="24"/>
          <w:szCs w:val="24"/>
        </w:rPr>
        <w:t xml:space="preserve">) de acordo com o crescimento da demanda e as disponibilidades de recursos públicos para realizar investimentos. </w:t>
      </w:r>
      <w:r w:rsidRPr="00E44536">
        <w:rPr>
          <w:rFonts w:ascii="Times New Roman" w:hAnsi="Times New Roman"/>
          <w:b/>
          <w:sz w:val="24"/>
          <w:szCs w:val="24"/>
        </w:rPr>
        <w:t xml:space="preserve">Esta política (ou, se se preferir, esta não-política, este não-planejamento) muda radicalmente quando a gestão/manutenção/qualificação de ramais rodoviários é concedida à iniciativa privada.  Na medida em que o investimento em estradas de rodagem passa a ser um “negócio mercantil”, o investidor passa a exigir garantias de que o sistema </w:t>
      </w:r>
      <w:r w:rsidRPr="00E44536">
        <w:rPr>
          <w:rFonts w:ascii="Times New Roman" w:hAnsi="Times New Roman"/>
          <w:b/>
          <w:sz w:val="24"/>
          <w:szCs w:val="24"/>
          <w:u w:val="single"/>
        </w:rPr>
        <w:t>não</w:t>
      </w:r>
      <w:r w:rsidRPr="00E44536">
        <w:rPr>
          <w:rFonts w:ascii="Times New Roman" w:hAnsi="Times New Roman"/>
          <w:b/>
          <w:sz w:val="24"/>
          <w:szCs w:val="24"/>
        </w:rPr>
        <w:t xml:space="preserve"> será objeto de contestação; vale dizer, que, a despeito do aumento da demanda, </w:t>
      </w:r>
      <w:r w:rsidRPr="00E44536">
        <w:rPr>
          <w:rFonts w:ascii="Times New Roman" w:hAnsi="Times New Roman"/>
          <w:b/>
          <w:sz w:val="24"/>
          <w:szCs w:val="24"/>
          <w:u w:val="single"/>
        </w:rPr>
        <w:t>não</w:t>
      </w:r>
      <w:r w:rsidRPr="00E44536">
        <w:rPr>
          <w:rFonts w:ascii="Times New Roman" w:hAnsi="Times New Roman"/>
          <w:b/>
          <w:sz w:val="24"/>
          <w:szCs w:val="24"/>
        </w:rPr>
        <w:t xml:space="preserve"> será permitida a construção de vias paralelas. Até mesmo rodovias vicinais, acessos e desvios passam a ser objeto de cerceamento e controle, na medida em que podem viabilizar a evasão aos pedágios. </w:t>
      </w:r>
    </w:p>
    <w:p w14:paraId="30D76FCB"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lastRenderedPageBreak/>
        <w:t xml:space="preserve">Aqui se encontra o ponto de maior complexidade na definição de um marco regulatório da concessão rodoviária capaz de contemplar os interesses de usuários e concessionárias gestoras no curto, no longo e no médio prazo. A cobrança de pedágios é uma forma legítima e justa de distribuição dos ônus da manutenção dos equipamentos: os usuários pagam pelos serviços na proporção e intensidade de seu uso. Na medida em que a gestão, manutenção e qualificação dos equipamentos rodoviários envolve investimentos e riscos, é da norma capitalista que os concessionários obtenham um lucro. Não obstante, é preciso que a oferta de equipamentos seja efetivamente qualificada, contemplando, igualmente bem, as necessidades dos usuários. Mais: é preciso garantir que a oferta de equipamentos crescerá e se qualificará em consonância com a expansão da demanda. </w:t>
      </w:r>
    </w:p>
    <w:p w14:paraId="53E8790A"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Como o sistema de mercado usualmente fornece estas garantias aos consumidores? Pela liberdade de utilização (ou não) de alternativas, pelo direito de optar por serviços – neste caso, rodovias ou modais – alternativos. E, aqui, o busílis da questão. </w:t>
      </w:r>
      <w:r w:rsidRPr="00E44536">
        <w:rPr>
          <w:rFonts w:ascii="Times New Roman" w:hAnsi="Times New Roman"/>
          <w:b/>
          <w:sz w:val="24"/>
          <w:szCs w:val="24"/>
        </w:rPr>
        <w:t>O problema mais grave do sistema logístico brasileiro é falta de contestabilidade.</w:t>
      </w:r>
      <w:r w:rsidRPr="00E44536">
        <w:rPr>
          <w:rFonts w:ascii="Times New Roman" w:hAnsi="Times New Roman"/>
          <w:sz w:val="24"/>
          <w:szCs w:val="24"/>
        </w:rPr>
        <w:t xml:space="preserve"> O sistema ferroviário foi privatizado e ainda opera sob um marco regulatório que consagra sua dimensão de monopólio natural; o sistema hidroviário (com honrosas exceções) praticamente inexiste no Brasil e não exerce qualquer função de contestabilidade efetiva nas regiões Sudeste e Sul; e as concessões rodoviárias foram contratadas sem a imposição de compromissos efetivos de ampliação e qualificação dos serviços. </w:t>
      </w:r>
    </w:p>
    <w:p w14:paraId="18785A9D"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Na verdade, as primeiras experiências de concessão rodoviária – levadas à frente pelo Rio Grande do Sul e pelo Paraná ainda nos anos 90 do século passado – se realizaram dentro de padrões contratuais profundamente desequilibrados no que diz respeito aos interesses de usuários e operadores. Nesta primeira geração de concessões as garantias de rentabilidade dadas pelo setor público foram estruturadas a partir de garantias de não-contestabilidade, do livro exercício do monopólio ao longo de todo o período de concessão. Além disso, foram introduzidas cláusulas acerca dos cálculos de custo e de indexação inflacionária que se mostraram igualmente desequilibradas, na medida em que sobrevalorizavam o peso daqueles serviços que podiam ser contratados pelas </w:t>
      </w:r>
      <w:r w:rsidRPr="00E44536">
        <w:rPr>
          <w:rFonts w:ascii="Times New Roman" w:hAnsi="Times New Roman"/>
          <w:sz w:val="24"/>
          <w:szCs w:val="24"/>
        </w:rPr>
        <w:lastRenderedPageBreak/>
        <w:t>concessionárias em condições de integração vertical</w:t>
      </w:r>
      <w:r w:rsidRPr="00E44536">
        <w:rPr>
          <w:rStyle w:val="Refdenotaderodap"/>
          <w:rFonts w:ascii="Times New Roman" w:hAnsi="Times New Roman"/>
          <w:sz w:val="24"/>
          <w:szCs w:val="24"/>
        </w:rPr>
        <w:footnoteReference w:id="16"/>
      </w:r>
      <w:r w:rsidRPr="00E44536">
        <w:rPr>
          <w:rFonts w:ascii="Times New Roman" w:hAnsi="Times New Roman"/>
          <w:sz w:val="24"/>
          <w:szCs w:val="24"/>
        </w:rPr>
        <w:t xml:space="preserve">. O resultado foi o crescimento das tarifas de pedágio acima da inflação média, sem a concomitante qualificação dos serviços num período em que a demanda por equipamentos rodoviários sofreu uma expansão vertiginosa em função da interiorização do desenvolvimento e da explosão da demanda asiática de commodities agrícolas.   </w:t>
      </w:r>
    </w:p>
    <w:p w14:paraId="5C38F4AD"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Felizmente, o tempo ensina. Com o passar do tempo, o padrão de concessão rodoviária foi sendo alterado em direção a um crescente equilíbrio de interesses entre usuários e investidores. E a relação entre “qualidade dos serviços” e “valor dos pedágios” cobrados pelas concessionárias de transporte rodoviário vem se alterando em prol dos usuários desde os anos 90 do século passado até a segunda década do corrente século. É possível dividir a história das concessões rodoviárias brasileiras recentes em três gerações. Os contratos firmados nos anos 90 pelas </w:t>
      </w:r>
      <w:proofErr w:type="spellStart"/>
      <w:r w:rsidRPr="00E44536">
        <w:rPr>
          <w:rFonts w:ascii="Times New Roman" w:hAnsi="Times New Roman"/>
          <w:sz w:val="24"/>
          <w:szCs w:val="24"/>
        </w:rPr>
        <w:t>UFs</w:t>
      </w:r>
      <w:proofErr w:type="spellEnd"/>
      <w:r w:rsidRPr="00E44536">
        <w:rPr>
          <w:rFonts w:ascii="Times New Roman" w:hAnsi="Times New Roman"/>
          <w:sz w:val="24"/>
          <w:szCs w:val="24"/>
        </w:rPr>
        <w:t xml:space="preserve"> precursoras das concessões (como RS e PR) foram marcados por um forte desequilíbrio em prol das concessionárias. Os contratos de segunda geração, firmados na primeira década do corrente século (por </w:t>
      </w:r>
      <w:proofErr w:type="spellStart"/>
      <w:r w:rsidRPr="00E44536">
        <w:rPr>
          <w:rFonts w:ascii="Times New Roman" w:hAnsi="Times New Roman"/>
          <w:sz w:val="24"/>
          <w:szCs w:val="24"/>
        </w:rPr>
        <w:t>UFs</w:t>
      </w:r>
      <w:proofErr w:type="spellEnd"/>
      <w:r w:rsidRPr="00E44536">
        <w:rPr>
          <w:rFonts w:ascii="Times New Roman" w:hAnsi="Times New Roman"/>
          <w:sz w:val="24"/>
          <w:szCs w:val="24"/>
        </w:rPr>
        <w:t xml:space="preserve"> da região Sudeste, com o protagonismo de SP) alcançou um maior equilíbrio, com valores mais baixos de pedágio e contrapartidas maiores. Mas a terceira geração de concessões - dos anos dez, liderada pelas </w:t>
      </w:r>
      <w:proofErr w:type="spellStart"/>
      <w:r w:rsidRPr="00E44536">
        <w:rPr>
          <w:rFonts w:ascii="Times New Roman" w:hAnsi="Times New Roman"/>
          <w:sz w:val="24"/>
          <w:szCs w:val="24"/>
        </w:rPr>
        <w:t>UFs</w:t>
      </w:r>
      <w:proofErr w:type="spellEnd"/>
      <w:r w:rsidRPr="00E44536">
        <w:rPr>
          <w:rFonts w:ascii="Times New Roman" w:hAnsi="Times New Roman"/>
          <w:sz w:val="24"/>
          <w:szCs w:val="24"/>
        </w:rPr>
        <w:t xml:space="preserve"> do Centro-Oeste – é aquela que conquistou melhores benefícios para os usuários. </w:t>
      </w:r>
    </w:p>
    <w:p w14:paraId="100F812B" w14:textId="77777777" w:rsid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O lado negativo deste processo de aprendizagem é o desequilíbrio imposto às </w:t>
      </w:r>
      <w:proofErr w:type="spellStart"/>
      <w:r w:rsidRPr="00E44536">
        <w:rPr>
          <w:rFonts w:ascii="Times New Roman" w:hAnsi="Times New Roman"/>
          <w:sz w:val="24"/>
          <w:szCs w:val="24"/>
        </w:rPr>
        <w:t>UFs</w:t>
      </w:r>
      <w:proofErr w:type="spellEnd"/>
      <w:r w:rsidRPr="00E44536">
        <w:rPr>
          <w:rFonts w:ascii="Times New Roman" w:hAnsi="Times New Roman"/>
          <w:sz w:val="24"/>
          <w:szCs w:val="24"/>
        </w:rPr>
        <w:t xml:space="preserve"> e regiões. As empresas exportadoras das </w:t>
      </w:r>
      <w:proofErr w:type="spellStart"/>
      <w:r w:rsidRPr="00E44536">
        <w:rPr>
          <w:rFonts w:ascii="Times New Roman" w:hAnsi="Times New Roman"/>
          <w:sz w:val="24"/>
          <w:szCs w:val="24"/>
        </w:rPr>
        <w:t>UFs</w:t>
      </w:r>
      <w:proofErr w:type="spellEnd"/>
      <w:r w:rsidRPr="00E44536">
        <w:rPr>
          <w:rFonts w:ascii="Times New Roman" w:hAnsi="Times New Roman"/>
          <w:sz w:val="24"/>
          <w:szCs w:val="24"/>
        </w:rPr>
        <w:t xml:space="preserve"> “retardatárias” só começaram a ser oneradas diretamente com o </w:t>
      </w:r>
      <w:proofErr w:type="spellStart"/>
      <w:r w:rsidRPr="00E44536">
        <w:rPr>
          <w:rFonts w:ascii="Times New Roman" w:hAnsi="Times New Roman"/>
          <w:sz w:val="24"/>
          <w:szCs w:val="24"/>
        </w:rPr>
        <w:t>pedagiamento</w:t>
      </w:r>
      <w:proofErr w:type="spellEnd"/>
      <w:r w:rsidRPr="00E44536">
        <w:rPr>
          <w:rFonts w:ascii="Times New Roman" w:hAnsi="Times New Roman"/>
          <w:sz w:val="24"/>
          <w:szCs w:val="24"/>
        </w:rPr>
        <w:t xml:space="preserve"> das cargas rodoviárias muitos anos após este processo ter início nas </w:t>
      </w:r>
      <w:proofErr w:type="spellStart"/>
      <w:r w:rsidRPr="00E44536">
        <w:rPr>
          <w:rFonts w:ascii="Times New Roman" w:hAnsi="Times New Roman"/>
          <w:sz w:val="24"/>
          <w:szCs w:val="24"/>
        </w:rPr>
        <w:t>UFs</w:t>
      </w:r>
      <w:proofErr w:type="spellEnd"/>
      <w:r w:rsidRPr="00E44536">
        <w:rPr>
          <w:rFonts w:ascii="Times New Roman" w:hAnsi="Times New Roman"/>
          <w:sz w:val="24"/>
          <w:szCs w:val="24"/>
        </w:rPr>
        <w:t xml:space="preserve"> do Sul e do Sudeste.  E quando o foram, incorreram em custos inferiores àqueles impostos às </w:t>
      </w:r>
      <w:proofErr w:type="spellStart"/>
      <w:r w:rsidRPr="00E44536">
        <w:rPr>
          <w:rFonts w:ascii="Times New Roman" w:hAnsi="Times New Roman"/>
          <w:sz w:val="24"/>
          <w:szCs w:val="24"/>
        </w:rPr>
        <w:t>UFs</w:t>
      </w:r>
      <w:proofErr w:type="spellEnd"/>
      <w:r w:rsidRPr="00E44536">
        <w:rPr>
          <w:rFonts w:ascii="Times New Roman" w:hAnsi="Times New Roman"/>
          <w:sz w:val="24"/>
          <w:szCs w:val="24"/>
        </w:rPr>
        <w:t xml:space="preserve"> precursoras deste processo. Este desequilíbrio só não foi mais perverso porque as </w:t>
      </w:r>
      <w:proofErr w:type="spellStart"/>
      <w:r w:rsidRPr="00E44536">
        <w:rPr>
          <w:rFonts w:ascii="Times New Roman" w:hAnsi="Times New Roman"/>
          <w:sz w:val="24"/>
          <w:szCs w:val="24"/>
        </w:rPr>
        <w:t>UFs</w:t>
      </w:r>
      <w:proofErr w:type="spellEnd"/>
      <w:r w:rsidRPr="00E44536">
        <w:rPr>
          <w:rFonts w:ascii="Times New Roman" w:hAnsi="Times New Roman"/>
          <w:sz w:val="24"/>
          <w:szCs w:val="24"/>
        </w:rPr>
        <w:t xml:space="preserve"> retardatárias são justamente aquelas que – situadas no interior do país e distantes </w:t>
      </w:r>
      <w:proofErr w:type="gramStart"/>
      <w:r w:rsidRPr="00E44536">
        <w:rPr>
          <w:rFonts w:ascii="Times New Roman" w:hAnsi="Times New Roman"/>
          <w:sz w:val="24"/>
          <w:szCs w:val="24"/>
        </w:rPr>
        <w:t>do portos marítimos</w:t>
      </w:r>
      <w:proofErr w:type="gramEnd"/>
      <w:r w:rsidRPr="00E44536">
        <w:rPr>
          <w:rFonts w:ascii="Times New Roman" w:hAnsi="Times New Roman"/>
          <w:sz w:val="24"/>
          <w:szCs w:val="24"/>
        </w:rPr>
        <w:t xml:space="preserve"> e dos principais centros consumidores nacionais – são as que apresentam os maiores custos de transporte por unidade de carga</w:t>
      </w:r>
      <w:r w:rsidRPr="00E44536">
        <w:rPr>
          <w:rStyle w:val="Refdenotaderodap"/>
          <w:rFonts w:ascii="Times New Roman" w:hAnsi="Times New Roman"/>
          <w:sz w:val="24"/>
          <w:szCs w:val="24"/>
        </w:rPr>
        <w:footnoteReference w:id="17"/>
      </w:r>
      <w:r w:rsidRPr="00E44536">
        <w:rPr>
          <w:rFonts w:ascii="Times New Roman" w:hAnsi="Times New Roman"/>
          <w:sz w:val="24"/>
          <w:szCs w:val="24"/>
        </w:rPr>
        <w:t xml:space="preserve">. É chegado </w:t>
      </w:r>
      <w:r w:rsidRPr="00E44536">
        <w:rPr>
          <w:rFonts w:ascii="Times New Roman" w:hAnsi="Times New Roman"/>
          <w:sz w:val="24"/>
          <w:szCs w:val="24"/>
        </w:rPr>
        <w:lastRenderedPageBreak/>
        <w:t xml:space="preserve">o momento, contudo, de incorporar o aprendizado do Centro-Oeste, tomando a terceira geração dos contratos de concessão como referência para a revisão das concessões nas demais </w:t>
      </w:r>
      <w:proofErr w:type="spellStart"/>
      <w:r w:rsidRPr="00E44536">
        <w:rPr>
          <w:rFonts w:ascii="Times New Roman" w:hAnsi="Times New Roman"/>
          <w:sz w:val="24"/>
          <w:szCs w:val="24"/>
        </w:rPr>
        <w:t>UFs</w:t>
      </w:r>
      <w:proofErr w:type="spellEnd"/>
      <w:r w:rsidRPr="00E44536">
        <w:rPr>
          <w:rFonts w:ascii="Times New Roman" w:hAnsi="Times New Roman"/>
          <w:sz w:val="24"/>
          <w:szCs w:val="24"/>
        </w:rPr>
        <w:t>.</w:t>
      </w:r>
    </w:p>
    <w:p w14:paraId="3D954DD4" w14:textId="77777777" w:rsidR="009A47A4" w:rsidRPr="00E44536" w:rsidRDefault="009A47A4" w:rsidP="00AC49D8">
      <w:pPr>
        <w:spacing w:after="120" w:line="360" w:lineRule="auto"/>
        <w:ind w:firstLine="709"/>
        <w:jc w:val="both"/>
        <w:rPr>
          <w:rFonts w:ascii="Times New Roman" w:hAnsi="Times New Roman"/>
          <w:sz w:val="24"/>
          <w:szCs w:val="24"/>
        </w:rPr>
      </w:pPr>
    </w:p>
    <w:p w14:paraId="197161E1" w14:textId="77777777" w:rsidR="00E44536" w:rsidRPr="00E44536" w:rsidRDefault="00E44536" w:rsidP="00AC49D8">
      <w:pPr>
        <w:spacing w:after="120" w:line="360" w:lineRule="auto"/>
        <w:ind w:firstLine="709"/>
        <w:jc w:val="both"/>
        <w:rPr>
          <w:rFonts w:ascii="Times New Roman" w:hAnsi="Times New Roman"/>
          <w:b/>
          <w:sz w:val="24"/>
          <w:szCs w:val="24"/>
        </w:rPr>
      </w:pPr>
      <w:r w:rsidRPr="00E44536">
        <w:rPr>
          <w:rFonts w:ascii="Times New Roman" w:hAnsi="Times New Roman"/>
          <w:b/>
          <w:sz w:val="24"/>
          <w:szCs w:val="24"/>
        </w:rPr>
        <w:t xml:space="preserve">3. A estrutura produtiva da Região Sul do Brasil </w:t>
      </w:r>
    </w:p>
    <w:p w14:paraId="6B7EE2C6" w14:textId="77777777" w:rsidR="00E44536" w:rsidRPr="00E44536" w:rsidRDefault="00E44536" w:rsidP="00AC49D8">
      <w:pPr>
        <w:pStyle w:val="PargrafodaLista"/>
        <w:spacing w:after="120" w:line="360" w:lineRule="auto"/>
        <w:ind w:left="0" w:firstLine="709"/>
        <w:contextualSpacing w:val="0"/>
        <w:jc w:val="both"/>
        <w:rPr>
          <w:rFonts w:ascii="Times New Roman" w:hAnsi="Times New Roman"/>
          <w:sz w:val="24"/>
          <w:szCs w:val="24"/>
        </w:rPr>
      </w:pPr>
      <w:r w:rsidRPr="00E44536">
        <w:rPr>
          <w:rFonts w:ascii="Times New Roman" w:hAnsi="Times New Roman"/>
          <w:sz w:val="24"/>
          <w:szCs w:val="24"/>
        </w:rPr>
        <w:t>Ao contrário das nações – que operam com moedas distintas e podem se defender através do câmbio – a divisão inter-regional do trabalho é definido por vantagens absolutas. O melhor indicador de especialização e exportação é o Quociente Locacional, usualmente referido como “QL”. Sua expressão formal é:</w:t>
      </w:r>
    </w:p>
    <w:p w14:paraId="7DCEA875"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noProof/>
          <w:sz w:val="24"/>
          <w:szCs w:val="24"/>
          <w:lang w:eastAsia="pt-BR"/>
        </w:rPr>
        <w:drawing>
          <wp:inline distT="0" distB="0" distL="0" distR="0" wp14:anchorId="7DC8B750" wp14:editId="182D7A24">
            <wp:extent cx="5025390" cy="1619462"/>
            <wp:effectExtent l="0" t="0" r="0" b="6350"/>
            <wp:docPr id="6" name="Picture 3">
              <a:extLst xmlns:a="http://schemas.openxmlformats.org/drawingml/2006/main">
                <a:ext uri="{FF2B5EF4-FFF2-40B4-BE49-F238E27FC236}">
                  <a16:creationId xmlns:mo="http://schemas.microsoft.com/office/mac/office/2008/main" xmlns:mv="urn:schemas-microsoft-com:mac:vml"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18A091F-D569-4367-9D72-5FA1CF5676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mo="http://schemas.microsoft.com/office/mac/office/2008/main" xmlns:mv="urn:schemas-microsoft-com:mac:vml"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18A091F-D569-4367-9D72-5FA1CF567661}"/>
                        </a:ext>
                      </a:extLst>
                    </pic:cNvPr>
                    <pic:cNvPicPr>
                      <a:picLocks noChangeAspect="1" noChangeArrowheads="1"/>
                    </pic:cNvPicPr>
                  </pic:nvPicPr>
                  <pic:blipFill>
                    <a:blip r:embed="rId7" cstate="print"/>
                    <a:srcRect/>
                    <a:stretch>
                      <a:fillRect/>
                    </a:stretch>
                  </pic:blipFill>
                  <pic:spPr bwMode="auto">
                    <a:xfrm>
                      <a:off x="0" y="0"/>
                      <a:ext cx="5029879" cy="1620909"/>
                    </a:xfrm>
                    <a:prstGeom prst="rect">
                      <a:avLst/>
                    </a:prstGeom>
                    <a:noFill/>
                    <a:ln w="9525">
                      <a:noFill/>
                      <a:miter lim="800000"/>
                      <a:headEnd/>
                      <a:tailEnd/>
                    </a:ln>
                    <a:effectLst/>
                  </pic:spPr>
                </pic:pic>
              </a:graphicData>
            </a:graphic>
          </wp:inline>
        </w:drawing>
      </w:r>
    </w:p>
    <w:p w14:paraId="2DEA4AD0"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A renda básica de um território é aquela que ingressa no mesmo a partir de sua especialização produtiva. Ela é indissociável do que o território exporta em bens e serviços e/ou do que “importa na forma de renda”, seja ao atrair turistas (de lazer, de serviços, de negócios) que despendem na região, seja ao receber recursos de transferências governamentais (aposentadorias, pensões, bolsa-família, salários de funcionários federais e estaduais sediados numa dada localidade, etc.) ou pessoais (transferência unilaterais de pessoas de uma mesma família para dependentes). Todas as atividades que atraem a renda básica são chamadas “propulsivas”. Há três tipos de atividades propulsivas: Exportadoras (X), Governamentais (G) e Turístico-Transferencial (</w:t>
      </w:r>
      <w:proofErr w:type="spellStart"/>
      <w:r w:rsidRPr="00E44536">
        <w:rPr>
          <w:rFonts w:ascii="Times New Roman" w:hAnsi="Times New Roman"/>
          <w:sz w:val="24"/>
          <w:szCs w:val="24"/>
        </w:rPr>
        <w:t>TrS</w:t>
      </w:r>
      <w:proofErr w:type="spellEnd"/>
      <w:r w:rsidRPr="00E44536">
        <w:rPr>
          <w:rFonts w:ascii="Times New Roman" w:hAnsi="Times New Roman"/>
          <w:sz w:val="24"/>
          <w:szCs w:val="24"/>
        </w:rPr>
        <w:t xml:space="preserve">). </w:t>
      </w:r>
    </w:p>
    <w:p w14:paraId="3DE4324C"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Para além da renda básica, vinculada às atividades propulsivas, há a renda reflexa, que emerge a partir da circulação interna da renda básica. As atividades que geram a renda </w:t>
      </w:r>
      <w:r w:rsidRPr="00E44536">
        <w:rPr>
          <w:rFonts w:ascii="Times New Roman" w:hAnsi="Times New Roman"/>
          <w:sz w:val="24"/>
          <w:szCs w:val="24"/>
        </w:rPr>
        <w:lastRenderedPageBreak/>
        <w:t xml:space="preserve">reflexa são aquelas que ofertam os bens e serviços demandados pelos domiciliados no próprio território. Estas atividades são de dois tipos: consumo das famílias (comércio a varejo, serviços básicos de educação e saúde, por </w:t>
      </w:r>
      <w:proofErr w:type="gramStart"/>
      <w:r w:rsidRPr="00E44536">
        <w:rPr>
          <w:rFonts w:ascii="Times New Roman" w:hAnsi="Times New Roman"/>
          <w:sz w:val="24"/>
          <w:szCs w:val="24"/>
        </w:rPr>
        <w:t>exemplo)  e</w:t>
      </w:r>
      <w:proofErr w:type="gramEnd"/>
      <w:r w:rsidRPr="00E44536">
        <w:rPr>
          <w:rFonts w:ascii="Times New Roman" w:hAnsi="Times New Roman"/>
          <w:sz w:val="24"/>
          <w:szCs w:val="24"/>
        </w:rPr>
        <w:t xml:space="preserve"> atividades de demanda universal (distribuição de energia elétrica e demais serviços industriais de utilidade pública como saneamento, telefonia, internet, etc.).  </w:t>
      </w:r>
    </w:p>
    <w:p w14:paraId="6BE42EE0"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Por fim, há as atividades mistas. A educação superior e a medicina de alta resolutividade são mistas: elas tanto funcionam como atividades propulsivas (quando atraem usuários externos, que introduzem no território uma renda produzida-auferida externamente, uma renda básica), como operam de forma reflexa (quando voltadas ao atendimento dos domiciliados). </w:t>
      </w:r>
    </w:p>
    <w:p w14:paraId="62EB47ED"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Há uma hierarquia entre as atividades propulsivas. Como regra geral, apenas as </w:t>
      </w:r>
      <w:proofErr w:type="gramStart"/>
      <w:r w:rsidRPr="00E44536">
        <w:rPr>
          <w:rFonts w:ascii="Times New Roman" w:hAnsi="Times New Roman"/>
          <w:sz w:val="24"/>
          <w:szCs w:val="24"/>
        </w:rPr>
        <w:t>cadeias e atividades X-Propulsivas</w:t>
      </w:r>
      <w:proofErr w:type="gramEnd"/>
      <w:r w:rsidRPr="00E44536">
        <w:rPr>
          <w:rFonts w:ascii="Times New Roman" w:hAnsi="Times New Roman"/>
          <w:sz w:val="24"/>
          <w:szCs w:val="24"/>
        </w:rPr>
        <w:t xml:space="preserve"> são sustentáveis no longo prazo a partir da mobilização de agentes e recursos endógenos. Mas há exceções. Territórios com vantagens locacionais particulares – sejam eles polos comerciais e de serviços, sejam territórios turísticos – podem sustentar seu crescimento com base em </w:t>
      </w:r>
      <w:proofErr w:type="gramStart"/>
      <w:r w:rsidRPr="00E44536">
        <w:rPr>
          <w:rFonts w:ascii="Times New Roman" w:hAnsi="Times New Roman"/>
          <w:sz w:val="24"/>
          <w:szCs w:val="24"/>
        </w:rPr>
        <w:t xml:space="preserve">atividades e cadeias </w:t>
      </w:r>
      <w:proofErr w:type="spellStart"/>
      <w:r w:rsidRPr="00E44536">
        <w:rPr>
          <w:rFonts w:ascii="Times New Roman" w:hAnsi="Times New Roman"/>
          <w:sz w:val="24"/>
          <w:szCs w:val="24"/>
        </w:rPr>
        <w:t>TrS</w:t>
      </w:r>
      <w:proofErr w:type="spellEnd"/>
      <w:r w:rsidRPr="00E44536">
        <w:rPr>
          <w:rFonts w:ascii="Times New Roman" w:hAnsi="Times New Roman"/>
          <w:sz w:val="24"/>
          <w:szCs w:val="24"/>
        </w:rPr>
        <w:t>-Propulsivas</w:t>
      </w:r>
      <w:proofErr w:type="gramEnd"/>
      <w:r w:rsidRPr="00E44536">
        <w:rPr>
          <w:rFonts w:ascii="Times New Roman" w:hAnsi="Times New Roman"/>
          <w:sz w:val="24"/>
          <w:szCs w:val="24"/>
        </w:rPr>
        <w:t xml:space="preserve">. E os territórios que cumprem funções administrativas inalienáveis – o Distrito Federal e as capitais das </w:t>
      </w:r>
      <w:proofErr w:type="spellStart"/>
      <w:r w:rsidRPr="00E44536">
        <w:rPr>
          <w:rFonts w:ascii="Times New Roman" w:hAnsi="Times New Roman"/>
          <w:sz w:val="24"/>
          <w:szCs w:val="24"/>
        </w:rPr>
        <w:t>UFs</w:t>
      </w:r>
      <w:proofErr w:type="spellEnd"/>
      <w:r w:rsidRPr="00E44536">
        <w:rPr>
          <w:rFonts w:ascii="Times New Roman" w:hAnsi="Times New Roman"/>
          <w:sz w:val="24"/>
          <w:szCs w:val="24"/>
        </w:rPr>
        <w:t xml:space="preserve"> – apresentam sustentabilidade em suas funções G-Propulsivas. O principal indicador de uma atividade básica é o QL, que também é um indicador de competitividade. E isto na medida em que a competitividade está diretamente relacionada com </w:t>
      </w:r>
    </w:p>
    <w:p w14:paraId="773329C2"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1) o desenvolvimento de um know-how associado ao </w:t>
      </w:r>
      <w:proofErr w:type="spellStart"/>
      <w:r w:rsidRPr="00E44536">
        <w:rPr>
          <w:rFonts w:ascii="Times New Roman" w:hAnsi="Times New Roman"/>
          <w:sz w:val="24"/>
          <w:szCs w:val="24"/>
        </w:rPr>
        <w:t>learning</w:t>
      </w:r>
      <w:proofErr w:type="spellEnd"/>
      <w:r w:rsidRPr="00E44536">
        <w:rPr>
          <w:rFonts w:ascii="Times New Roman" w:hAnsi="Times New Roman"/>
          <w:sz w:val="24"/>
          <w:szCs w:val="24"/>
        </w:rPr>
        <w:t xml:space="preserve"> </w:t>
      </w:r>
      <w:proofErr w:type="spellStart"/>
      <w:r w:rsidRPr="00E44536">
        <w:rPr>
          <w:rFonts w:ascii="Times New Roman" w:hAnsi="Times New Roman"/>
          <w:sz w:val="24"/>
          <w:szCs w:val="24"/>
        </w:rPr>
        <w:t>by</w:t>
      </w:r>
      <w:proofErr w:type="spellEnd"/>
      <w:r w:rsidRPr="00E44536">
        <w:rPr>
          <w:rFonts w:ascii="Times New Roman" w:hAnsi="Times New Roman"/>
          <w:sz w:val="24"/>
          <w:szCs w:val="24"/>
        </w:rPr>
        <w:t xml:space="preserve"> </w:t>
      </w:r>
      <w:proofErr w:type="spellStart"/>
      <w:r w:rsidRPr="00E44536">
        <w:rPr>
          <w:rFonts w:ascii="Times New Roman" w:hAnsi="Times New Roman"/>
          <w:sz w:val="24"/>
          <w:szCs w:val="24"/>
        </w:rPr>
        <w:t>doing</w:t>
      </w:r>
      <w:proofErr w:type="spellEnd"/>
      <w:r w:rsidRPr="00E44536">
        <w:rPr>
          <w:rFonts w:ascii="Times New Roman" w:hAnsi="Times New Roman"/>
          <w:sz w:val="24"/>
          <w:szCs w:val="24"/>
        </w:rPr>
        <w:t>;</w:t>
      </w:r>
    </w:p>
    <w:p w14:paraId="00D5EF71"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2) a escala em que algo é produzido (tal como nos ensinaram Smith, Marx e Marshall);</w:t>
      </w:r>
    </w:p>
    <w:p w14:paraId="2A4F6E2F"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3) a eficiência, a prática e a escala dos concorrentes atuais e potenciais (as demais microrregiões da região de referência).</w:t>
      </w:r>
    </w:p>
    <w:p w14:paraId="53C10116"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Contudo, não basta tomar os </w:t>
      </w:r>
      <w:proofErr w:type="spellStart"/>
      <w:r w:rsidRPr="00E44536">
        <w:rPr>
          <w:rFonts w:ascii="Times New Roman" w:hAnsi="Times New Roman"/>
          <w:sz w:val="24"/>
          <w:szCs w:val="24"/>
        </w:rPr>
        <w:t>QLs</w:t>
      </w:r>
      <w:proofErr w:type="spellEnd"/>
      <w:r w:rsidRPr="00E44536">
        <w:rPr>
          <w:rFonts w:ascii="Times New Roman" w:hAnsi="Times New Roman"/>
          <w:sz w:val="24"/>
          <w:szCs w:val="24"/>
        </w:rPr>
        <w:t xml:space="preserve"> das atividades isoladas. É preciso identificar se há cadeias produtivas e seu QL global. O que nos coloca a questão: o que vem a ser uma cadeia produtiva? Qual a diferença com relação ao “setor”? ... Uma cadeia produtiva é um conjunto de atividades ligadas entre si como elos de uma corrente a partir de relações </w:t>
      </w:r>
      <w:r w:rsidRPr="00E44536">
        <w:rPr>
          <w:rFonts w:ascii="Times New Roman" w:hAnsi="Times New Roman"/>
          <w:sz w:val="24"/>
          <w:szCs w:val="24"/>
        </w:rPr>
        <w:lastRenderedPageBreak/>
        <w:t>de clientela A produção de calçados é apenas um dos inúmeros elos da cadeia “coureiro-calçadista”, que é muito mais longa. Esta cadeia envolve desde a pecuária bovina (setor agropecuário) e o processamento do couro (setor curtume) até a venda do sapato no varejo (setor comercial). Entre os elos “couro” e “varejo”, há uma infinidade de elos intermediários, envolvendo a produção de saltos de madeira (setor madeireiro) e de borracha (setor borracha e plástico), de colas e adesivos (setor químico), pregos e taxas (setor metalúrgico), caixas de papelão (setor papel-papelão), bem como os mais diversos serviços de design, financiamento, comercialização, transporte, etc.</w:t>
      </w:r>
    </w:p>
    <w:p w14:paraId="2E53878E"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Quanto mais longa a cadeia, maior a chance de apresentar gargalos, e mais fácil é a hierarquização de investimentos. E quanto mais longa a cadeia, maior a multiplicação de toda e qualquer ação incidente sobre sua “ponta”, a venda do produto final. </w:t>
      </w:r>
    </w:p>
    <w:p w14:paraId="55840EE7" w14:textId="468A8B35"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Quais cadeias são estruturais para nós? Isto tem que ser objeto de investigação específica. Em cada região, aparecem cadeias com maior ou menor potencial. Analisemos os resultados das cadeias da Região Sul</w:t>
      </w:r>
      <w:r w:rsidR="00AC49D8">
        <w:rPr>
          <w:rFonts w:ascii="Times New Roman" w:hAnsi="Times New Roman"/>
          <w:sz w:val="24"/>
          <w:szCs w:val="24"/>
        </w:rPr>
        <w:t>.</w:t>
      </w:r>
      <w:r w:rsidRPr="00E44536">
        <w:rPr>
          <w:rFonts w:ascii="Times New Roman" w:hAnsi="Times New Roman"/>
          <w:sz w:val="24"/>
          <w:szCs w:val="24"/>
        </w:rPr>
        <w:t xml:space="preserve"> </w:t>
      </w:r>
    </w:p>
    <w:p w14:paraId="1D5BEE89" w14:textId="71A67123" w:rsidR="00E44536" w:rsidRPr="00E44536" w:rsidRDefault="00E44536" w:rsidP="009A47A4">
      <w:pPr>
        <w:spacing w:after="120" w:line="360" w:lineRule="auto"/>
        <w:jc w:val="center"/>
        <w:rPr>
          <w:rFonts w:ascii="Times New Roman" w:hAnsi="Times New Roman"/>
          <w:b/>
          <w:sz w:val="24"/>
          <w:szCs w:val="24"/>
        </w:rPr>
      </w:pPr>
      <w:r w:rsidRPr="00E44536">
        <w:rPr>
          <w:rFonts w:ascii="Times New Roman" w:hAnsi="Times New Roman"/>
          <w:b/>
          <w:sz w:val="24"/>
          <w:szCs w:val="24"/>
        </w:rPr>
        <w:t>Quadro 1 – Síntese de Função Dinâmica</w:t>
      </w:r>
      <w:r w:rsidRPr="00E44536">
        <w:rPr>
          <w:rStyle w:val="Refdenotaderodap"/>
          <w:rFonts w:ascii="Times New Roman" w:hAnsi="Times New Roman"/>
          <w:b/>
          <w:sz w:val="24"/>
          <w:szCs w:val="24"/>
        </w:rPr>
        <w:footnoteReference w:id="18"/>
      </w:r>
    </w:p>
    <w:p w14:paraId="6ADAD1D6" w14:textId="77777777" w:rsidR="00E44536" w:rsidRPr="00E44536" w:rsidRDefault="00E44536" w:rsidP="00AC49D8">
      <w:pPr>
        <w:spacing w:after="120" w:line="360" w:lineRule="auto"/>
        <w:jc w:val="both"/>
        <w:rPr>
          <w:rFonts w:ascii="Times New Roman" w:hAnsi="Times New Roman"/>
          <w:sz w:val="24"/>
          <w:szCs w:val="24"/>
        </w:rPr>
      </w:pPr>
      <w:r w:rsidRPr="00E44536">
        <w:rPr>
          <w:rFonts w:ascii="Times New Roman" w:hAnsi="Times New Roman"/>
          <w:noProof/>
          <w:sz w:val="24"/>
          <w:szCs w:val="24"/>
          <w:lang w:eastAsia="pt-BR"/>
        </w:rPr>
        <w:drawing>
          <wp:inline distT="0" distB="0" distL="0" distR="0" wp14:anchorId="23B37725" wp14:editId="36EE8588">
            <wp:extent cx="5396230" cy="1878965"/>
            <wp:effectExtent l="0" t="0" r="0" b="6985"/>
            <wp:docPr id="2" name="Espaço Reservado para Conteúdo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Espaço Reservado para Conteúdo 5"/>
                    <pic:cNvPicPr>
                      <a:picLocks noGrp="1" noChangeAspect="1"/>
                    </pic:cNvPicPr>
                  </pic:nvPicPr>
                  <pic:blipFill>
                    <a:blip r:embed="rId8"/>
                    <a:stretch>
                      <a:fillRect/>
                    </a:stretch>
                  </pic:blipFill>
                  <pic:spPr>
                    <a:xfrm>
                      <a:off x="0" y="0"/>
                      <a:ext cx="5396230" cy="1878965"/>
                    </a:xfrm>
                    <a:prstGeom prst="rect">
                      <a:avLst/>
                    </a:prstGeom>
                  </pic:spPr>
                </pic:pic>
              </a:graphicData>
            </a:graphic>
          </wp:inline>
        </w:drawing>
      </w:r>
    </w:p>
    <w:p w14:paraId="67B0F74D" w14:textId="4C0B59AD"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Dividindo as atividades em funções dinâmicas chegou-se na síntese apresentada acima. A função Governamental Propulsiva (G </w:t>
      </w:r>
      <w:proofErr w:type="spellStart"/>
      <w:r w:rsidRPr="00E44536">
        <w:rPr>
          <w:rFonts w:ascii="Times New Roman" w:hAnsi="Times New Roman"/>
          <w:sz w:val="24"/>
          <w:szCs w:val="24"/>
        </w:rPr>
        <w:t>Prop</w:t>
      </w:r>
      <w:proofErr w:type="spellEnd"/>
      <w:r w:rsidRPr="00E44536">
        <w:rPr>
          <w:rFonts w:ascii="Times New Roman" w:hAnsi="Times New Roman"/>
          <w:sz w:val="24"/>
          <w:szCs w:val="24"/>
        </w:rPr>
        <w:t xml:space="preserve">), definida pela cadeia de Administração Pública (QL de 0,78). Isto significa dizer que a percentagem do emprego público na região sul corresponde a 78% da percentagem nacional. A região sul não apresenta inchaço do setor público e não é especialmente dependente deste segmento na </w:t>
      </w:r>
      <w:r w:rsidRPr="00E44536">
        <w:rPr>
          <w:rFonts w:ascii="Times New Roman" w:hAnsi="Times New Roman"/>
          <w:sz w:val="24"/>
          <w:szCs w:val="24"/>
        </w:rPr>
        <w:lastRenderedPageBreak/>
        <w:t xml:space="preserve">determinação de sua dinâmica econômica. De outro lado as cadeias propulsivas de base exportadora (X </w:t>
      </w:r>
      <w:proofErr w:type="spellStart"/>
      <w:r w:rsidRPr="00E44536">
        <w:rPr>
          <w:rFonts w:ascii="Times New Roman" w:hAnsi="Times New Roman"/>
          <w:sz w:val="24"/>
          <w:szCs w:val="24"/>
        </w:rPr>
        <w:t>Prop</w:t>
      </w:r>
      <w:proofErr w:type="spellEnd"/>
      <w:r w:rsidRPr="00E44536">
        <w:rPr>
          <w:rFonts w:ascii="Times New Roman" w:hAnsi="Times New Roman"/>
          <w:sz w:val="24"/>
          <w:szCs w:val="24"/>
        </w:rPr>
        <w:t>) apresentaram um QL significativamente superior à média nacional - 1,69 -  compensando o baixo QL G-</w:t>
      </w:r>
      <w:proofErr w:type="spellStart"/>
      <w:r w:rsidRPr="00E44536">
        <w:rPr>
          <w:rFonts w:ascii="Times New Roman" w:hAnsi="Times New Roman"/>
          <w:sz w:val="24"/>
          <w:szCs w:val="24"/>
        </w:rPr>
        <w:t>Prop</w:t>
      </w:r>
      <w:proofErr w:type="spellEnd"/>
      <w:r w:rsidRPr="00E44536">
        <w:rPr>
          <w:rFonts w:ascii="Times New Roman" w:hAnsi="Times New Roman"/>
          <w:sz w:val="24"/>
          <w:szCs w:val="24"/>
        </w:rPr>
        <w:t xml:space="preserve"> e impondo um QL médio das funções propulsivas agregadas acima da unidade (1,13). </w:t>
      </w:r>
      <w:proofErr w:type="gramStart"/>
      <w:r w:rsidRPr="00E44536">
        <w:rPr>
          <w:rFonts w:ascii="Times New Roman" w:hAnsi="Times New Roman"/>
          <w:sz w:val="24"/>
          <w:szCs w:val="24"/>
        </w:rPr>
        <w:t>Por outro lado</w:t>
      </w:r>
      <w:proofErr w:type="gramEnd"/>
      <w:r w:rsidRPr="00E44536">
        <w:rPr>
          <w:rFonts w:ascii="Times New Roman" w:hAnsi="Times New Roman"/>
          <w:sz w:val="24"/>
          <w:szCs w:val="24"/>
        </w:rPr>
        <w:t xml:space="preserve"> a função Turismo e Polarização Regional (</w:t>
      </w:r>
      <w:proofErr w:type="spellStart"/>
      <w:r w:rsidRPr="00E44536">
        <w:rPr>
          <w:rFonts w:ascii="Times New Roman" w:hAnsi="Times New Roman"/>
          <w:sz w:val="24"/>
          <w:szCs w:val="24"/>
        </w:rPr>
        <w:t>TrS</w:t>
      </w:r>
      <w:proofErr w:type="spellEnd"/>
      <w:r w:rsidRPr="00E44536">
        <w:rPr>
          <w:rFonts w:ascii="Times New Roman" w:hAnsi="Times New Roman"/>
          <w:sz w:val="24"/>
          <w:szCs w:val="24"/>
        </w:rPr>
        <w:t xml:space="preserve"> </w:t>
      </w:r>
      <w:proofErr w:type="spellStart"/>
      <w:r w:rsidRPr="00E44536">
        <w:rPr>
          <w:rFonts w:ascii="Times New Roman" w:hAnsi="Times New Roman"/>
          <w:sz w:val="24"/>
          <w:szCs w:val="24"/>
        </w:rPr>
        <w:t>Prop</w:t>
      </w:r>
      <w:proofErr w:type="spellEnd"/>
      <w:r w:rsidRPr="00E44536">
        <w:rPr>
          <w:rFonts w:ascii="Times New Roman" w:hAnsi="Times New Roman"/>
          <w:sz w:val="24"/>
          <w:szCs w:val="24"/>
        </w:rPr>
        <w:t>) apresentou um indicador discretamente inferior ao padrão nacional (0,93).</w:t>
      </w:r>
    </w:p>
    <w:p w14:paraId="0B0C28DB"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ab/>
        <w:t>Outro indicador interessante de analisar é a quantidade de trabalhadores por estabelecimento (</w:t>
      </w:r>
      <w:proofErr w:type="spellStart"/>
      <w:r w:rsidRPr="00E44536">
        <w:rPr>
          <w:rFonts w:ascii="Times New Roman" w:hAnsi="Times New Roman"/>
          <w:sz w:val="24"/>
          <w:szCs w:val="24"/>
        </w:rPr>
        <w:t>Trab</w:t>
      </w:r>
      <w:proofErr w:type="spellEnd"/>
      <w:r w:rsidRPr="00E44536">
        <w:rPr>
          <w:rFonts w:ascii="Times New Roman" w:hAnsi="Times New Roman"/>
          <w:sz w:val="24"/>
          <w:szCs w:val="24"/>
        </w:rPr>
        <w:t xml:space="preserve"> / Est), a função G </w:t>
      </w:r>
      <w:proofErr w:type="spellStart"/>
      <w:r w:rsidRPr="00E44536">
        <w:rPr>
          <w:rFonts w:ascii="Times New Roman" w:hAnsi="Times New Roman"/>
          <w:sz w:val="24"/>
          <w:szCs w:val="24"/>
        </w:rPr>
        <w:t>Prop</w:t>
      </w:r>
      <w:proofErr w:type="spellEnd"/>
      <w:r w:rsidRPr="00E44536">
        <w:rPr>
          <w:rFonts w:ascii="Times New Roman" w:hAnsi="Times New Roman"/>
          <w:sz w:val="24"/>
          <w:szCs w:val="24"/>
        </w:rPr>
        <w:t xml:space="preserve"> tem cerca de 120 trabalhadores por estabelecimento a mais no Brasil do que na Região Sul.  Nas demais funções propulsivas esse indicador se assemelha na região e na nação.</w:t>
      </w:r>
    </w:p>
    <w:p w14:paraId="6C8811E7" w14:textId="77777777" w:rsid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ab/>
        <w:t xml:space="preserve">Os QL das funções Mistas e Reflexas espera-se que estejam próximos de 1, o que podemos confirmar no quadro acima. A que obteve o menor índice foram as cadeias Indeterminadas (0,32), que estão as atividades que não se encaixam em nenhuma cadeia. Já a quantidade de trabalhadores por estabelecimentos podemos observar que em todas as funções o Brasil foi maior do que a Região Sul, com destaque para as indeterminadas, pouco menos do que o dobro da Região. </w:t>
      </w:r>
    </w:p>
    <w:p w14:paraId="3B23BB89" w14:textId="77777777" w:rsidR="00E44536" w:rsidRPr="00E44536" w:rsidRDefault="00E44536" w:rsidP="009A47A4">
      <w:pPr>
        <w:spacing w:after="120" w:line="360" w:lineRule="auto"/>
        <w:jc w:val="center"/>
        <w:rPr>
          <w:rFonts w:ascii="Times New Roman" w:hAnsi="Times New Roman"/>
          <w:b/>
          <w:sz w:val="24"/>
          <w:szCs w:val="24"/>
        </w:rPr>
      </w:pPr>
      <w:r w:rsidRPr="00E44536">
        <w:rPr>
          <w:rFonts w:ascii="Times New Roman" w:hAnsi="Times New Roman"/>
          <w:b/>
          <w:sz w:val="24"/>
          <w:szCs w:val="24"/>
        </w:rPr>
        <w:t>Quadro 2 – Síntese de Cadeias Produtivas - Propulsivas</w:t>
      </w:r>
    </w:p>
    <w:p w14:paraId="64DE50E8" w14:textId="77777777" w:rsidR="00E44536" w:rsidRPr="00E44536" w:rsidRDefault="00E44536" w:rsidP="00AC49D8">
      <w:pPr>
        <w:spacing w:after="120" w:line="360" w:lineRule="auto"/>
        <w:jc w:val="both"/>
        <w:rPr>
          <w:rFonts w:ascii="Times New Roman" w:hAnsi="Times New Roman"/>
          <w:sz w:val="24"/>
          <w:szCs w:val="24"/>
        </w:rPr>
      </w:pPr>
      <w:r w:rsidRPr="00E44536">
        <w:rPr>
          <w:rFonts w:ascii="Times New Roman" w:hAnsi="Times New Roman"/>
          <w:noProof/>
          <w:sz w:val="24"/>
          <w:szCs w:val="24"/>
          <w:lang w:eastAsia="pt-BR"/>
        </w:rPr>
        <w:drawing>
          <wp:inline distT="0" distB="0" distL="0" distR="0" wp14:anchorId="778589FF" wp14:editId="590BE270">
            <wp:extent cx="5628005" cy="2842895"/>
            <wp:effectExtent l="0" t="0" r="10795" b="1905"/>
            <wp:docPr id="3" name="Espaço Reservado para Conteúdo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Espaço Reservado para Conteúdo 5"/>
                    <pic:cNvPicPr>
                      <a:picLocks noGrp="1" noChangeAspect="1"/>
                    </pic:cNvPicPr>
                  </pic:nvPicPr>
                  <pic:blipFill>
                    <a:blip r:embed="rId9"/>
                    <a:stretch>
                      <a:fillRect/>
                    </a:stretch>
                  </pic:blipFill>
                  <pic:spPr>
                    <a:xfrm>
                      <a:off x="0" y="0"/>
                      <a:ext cx="5628428" cy="2843109"/>
                    </a:xfrm>
                    <a:prstGeom prst="rect">
                      <a:avLst/>
                    </a:prstGeom>
                  </pic:spPr>
                </pic:pic>
              </a:graphicData>
            </a:graphic>
          </wp:inline>
        </w:drawing>
      </w:r>
    </w:p>
    <w:p w14:paraId="3FD2C1D4"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ab/>
      </w:r>
    </w:p>
    <w:p w14:paraId="1362AAED"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lastRenderedPageBreak/>
        <w:t xml:space="preserve">O Quadro 2 acima detalha as cadeias de função propulsiva. Para facilitar a leitura e interpretação do Quadro 2, diferenciamos as cadeias atribuindo tonalidades distintas ao fundo. As quatro cadeias que nos parecem apresentar o maior potencial de crescimento estão sinalizadas pelo fundo de cor pastel; são elas: 1) Agroindústria de Base, voltada à produção de insumos, máquinas, equipamentos e assistência técnica à agropecuária, com quase 100 mil empregados formais; 2) Proteína Animal (carne e leite), com quase 340 mil ocupados formais; 3) Madeira-Mobiliário-Papel com aproximadamente 220 mil ocupados formais; e 4) Indústria de Base em Geral – insumos, máquinas e equipamentos para os mais diversos fins – com pouco mais de 320 mil ocupados formais. </w:t>
      </w:r>
      <w:proofErr w:type="gramStart"/>
      <w:r w:rsidRPr="00E44536">
        <w:rPr>
          <w:rFonts w:ascii="Times New Roman" w:hAnsi="Times New Roman"/>
          <w:sz w:val="24"/>
          <w:szCs w:val="24"/>
        </w:rPr>
        <w:t>Estas quadro</w:t>
      </w:r>
      <w:proofErr w:type="gramEnd"/>
      <w:r w:rsidRPr="00E44536">
        <w:rPr>
          <w:rFonts w:ascii="Times New Roman" w:hAnsi="Times New Roman"/>
          <w:sz w:val="24"/>
          <w:szCs w:val="24"/>
        </w:rPr>
        <w:t xml:space="preserve"> cadeias ocupam pouco menos de um milhão de trabalhadores formais, quase 2/3 do total de ocupados em atividades X-Propulsivas. Vale observar que a região apresenta outras cadeias propulsivas que são grandes geradoras de emprego – como a </w:t>
      </w:r>
      <w:proofErr w:type="spellStart"/>
      <w:r w:rsidRPr="00E44536">
        <w:rPr>
          <w:rFonts w:ascii="Times New Roman" w:hAnsi="Times New Roman"/>
          <w:sz w:val="24"/>
          <w:szCs w:val="24"/>
        </w:rPr>
        <w:t>Têxti</w:t>
      </w:r>
      <w:proofErr w:type="spellEnd"/>
      <w:r w:rsidRPr="00E44536">
        <w:rPr>
          <w:rFonts w:ascii="Times New Roman" w:hAnsi="Times New Roman"/>
          <w:sz w:val="24"/>
          <w:szCs w:val="24"/>
        </w:rPr>
        <w:t>-Vestuário, Calçadista, Agroindústria Vegetal e Utensílios Domésticos – mas a evolução recente das mesmas vem se mostrando instável em função da crescente exposição competitiva externa (em especial do sudeste asiático) e interna (em especial, das regiões de industrialização recente e/ou de fronteira agrícola em expansão, como o Centro-Oeste e o Nordeste). Nos quadros abaixo detalhamos as subdivisões internas das cadeias mais relevantes.</w:t>
      </w:r>
    </w:p>
    <w:p w14:paraId="08463F89" w14:textId="77777777" w:rsidR="00E44536" w:rsidRPr="00E44536" w:rsidRDefault="00E44536" w:rsidP="009A47A4">
      <w:pPr>
        <w:spacing w:after="120" w:line="360" w:lineRule="auto"/>
        <w:jc w:val="center"/>
        <w:rPr>
          <w:rFonts w:ascii="Times New Roman" w:hAnsi="Times New Roman"/>
          <w:b/>
          <w:sz w:val="24"/>
          <w:szCs w:val="24"/>
        </w:rPr>
      </w:pPr>
      <w:r w:rsidRPr="00E44536">
        <w:rPr>
          <w:rFonts w:ascii="Times New Roman" w:hAnsi="Times New Roman"/>
          <w:b/>
          <w:sz w:val="24"/>
          <w:szCs w:val="24"/>
        </w:rPr>
        <w:t xml:space="preserve">Quadro 3 – Síntese da Cadeias e suas </w:t>
      </w:r>
      <w:proofErr w:type="spellStart"/>
      <w:r w:rsidRPr="00E44536">
        <w:rPr>
          <w:rFonts w:ascii="Times New Roman" w:hAnsi="Times New Roman"/>
          <w:b/>
          <w:sz w:val="24"/>
          <w:szCs w:val="24"/>
        </w:rPr>
        <w:t>Sub-cadeias</w:t>
      </w:r>
      <w:proofErr w:type="spellEnd"/>
      <w:r w:rsidRPr="00E44536">
        <w:rPr>
          <w:rFonts w:ascii="Times New Roman" w:hAnsi="Times New Roman"/>
          <w:b/>
          <w:sz w:val="24"/>
          <w:szCs w:val="24"/>
        </w:rPr>
        <w:t xml:space="preserve"> – Proteína Animal</w:t>
      </w:r>
    </w:p>
    <w:p w14:paraId="0A00310E" w14:textId="77777777" w:rsidR="00E44536" w:rsidRPr="00E44536" w:rsidRDefault="00E44536" w:rsidP="00AC49D8">
      <w:pPr>
        <w:spacing w:after="120" w:line="360" w:lineRule="auto"/>
        <w:jc w:val="both"/>
        <w:rPr>
          <w:rFonts w:ascii="Times New Roman" w:hAnsi="Times New Roman"/>
          <w:sz w:val="24"/>
          <w:szCs w:val="24"/>
        </w:rPr>
      </w:pPr>
      <w:r w:rsidRPr="00E44536">
        <w:rPr>
          <w:rFonts w:ascii="Times New Roman" w:hAnsi="Times New Roman"/>
          <w:noProof/>
          <w:sz w:val="24"/>
          <w:szCs w:val="24"/>
          <w:lang w:eastAsia="pt-BR"/>
        </w:rPr>
        <w:drawing>
          <wp:inline distT="0" distB="0" distL="0" distR="0" wp14:anchorId="37FAC49F" wp14:editId="2A55CAC0">
            <wp:extent cx="5396230" cy="1522095"/>
            <wp:effectExtent l="0" t="0" r="0" b="1905"/>
            <wp:docPr id="7"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5"/>
                    <pic:cNvPicPr>
                      <a:picLocks noChangeAspect="1"/>
                    </pic:cNvPicPr>
                  </pic:nvPicPr>
                  <pic:blipFill>
                    <a:blip r:embed="rId10"/>
                    <a:stretch>
                      <a:fillRect/>
                    </a:stretch>
                  </pic:blipFill>
                  <pic:spPr>
                    <a:xfrm>
                      <a:off x="0" y="0"/>
                      <a:ext cx="5396230" cy="1522095"/>
                    </a:xfrm>
                    <a:prstGeom prst="rect">
                      <a:avLst/>
                    </a:prstGeom>
                  </pic:spPr>
                </pic:pic>
              </a:graphicData>
            </a:graphic>
          </wp:inline>
        </w:drawing>
      </w:r>
    </w:p>
    <w:p w14:paraId="314BA1E5" w14:textId="4494A7D4"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A cadeia da Proteína Animal foi dividida em duas </w:t>
      </w:r>
      <w:proofErr w:type="spellStart"/>
      <w:r w:rsidRPr="00E44536">
        <w:rPr>
          <w:rFonts w:ascii="Times New Roman" w:hAnsi="Times New Roman"/>
          <w:sz w:val="24"/>
          <w:szCs w:val="24"/>
        </w:rPr>
        <w:t>sub-cadeias</w:t>
      </w:r>
      <w:proofErr w:type="spellEnd"/>
      <w:r w:rsidRPr="00E44536">
        <w:rPr>
          <w:rFonts w:ascii="Times New Roman" w:hAnsi="Times New Roman"/>
          <w:sz w:val="24"/>
          <w:szCs w:val="24"/>
        </w:rPr>
        <w:t xml:space="preserve">, Carne e Leite. Como esperado, a Região Sul destaca-se principalmente na </w:t>
      </w:r>
      <w:proofErr w:type="spellStart"/>
      <w:r w:rsidRPr="00E44536">
        <w:rPr>
          <w:rFonts w:ascii="Times New Roman" w:hAnsi="Times New Roman"/>
          <w:sz w:val="24"/>
          <w:szCs w:val="24"/>
        </w:rPr>
        <w:t>sub-cadeia</w:t>
      </w:r>
      <w:proofErr w:type="spellEnd"/>
      <w:r w:rsidRPr="00E44536">
        <w:rPr>
          <w:rFonts w:ascii="Times New Roman" w:hAnsi="Times New Roman"/>
          <w:sz w:val="24"/>
          <w:szCs w:val="24"/>
        </w:rPr>
        <w:t xml:space="preserve"> de Carne (bovinos, suínos, galináceos, etc.), pois o estado do Paraná e de Santa Catarina concentram os maiores centros produtores de suínos e galináceos. O QL da Carne é de 2,16, cerca de 40% dos trabalhadores nacionais envolvidos nesta </w:t>
      </w:r>
      <w:proofErr w:type="spellStart"/>
      <w:r w:rsidRPr="00E44536">
        <w:rPr>
          <w:rFonts w:ascii="Times New Roman" w:hAnsi="Times New Roman"/>
          <w:sz w:val="24"/>
          <w:szCs w:val="24"/>
        </w:rPr>
        <w:t>sub-cadeia</w:t>
      </w:r>
      <w:proofErr w:type="spellEnd"/>
      <w:r w:rsidRPr="00E44536">
        <w:rPr>
          <w:rFonts w:ascii="Times New Roman" w:hAnsi="Times New Roman"/>
          <w:sz w:val="24"/>
          <w:szCs w:val="24"/>
        </w:rPr>
        <w:t xml:space="preserve"> encontram-se na Região </w:t>
      </w:r>
      <w:r w:rsidRPr="00E44536">
        <w:rPr>
          <w:rFonts w:ascii="Times New Roman" w:hAnsi="Times New Roman"/>
          <w:sz w:val="24"/>
          <w:szCs w:val="24"/>
        </w:rPr>
        <w:lastRenderedPageBreak/>
        <w:t>Sul. O QL do Leite é de 1,31, pouco acima da unidade, mas ainda sim tem uma expressão importante na Região. Logo, a cadeia produtiva de Proteína Animal é uma das cadeias importante, com QL de 1,58 e em média 12,28 trabalhadores por estabelecimento, exatamente o dobro do que o Brasil (6,14).</w:t>
      </w:r>
    </w:p>
    <w:p w14:paraId="3D8EADBA" w14:textId="77777777" w:rsidR="00E44536" w:rsidRPr="00E44536" w:rsidRDefault="00E44536" w:rsidP="00AC49D8">
      <w:pPr>
        <w:spacing w:after="120" w:line="360" w:lineRule="auto"/>
        <w:ind w:firstLine="709"/>
        <w:jc w:val="both"/>
        <w:rPr>
          <w:rFonts w:ascii="Times New Roman" w:hAnsi="Times New Roman"/>
          <w:sz w:val="24"/>
          <w:szCs w:val="24"/>
        </w:rPr>
      </w:pPr>
    </w:p>
    <w:p w14:paraId="3FC3D2D9" w14:textId="35689B7D" w:rsidR="00E44536" w:rsidRPr="00E44536" w:rsidRDefault="00E44536" w:rsidP="009A47A4">
      <w:pPr>
        <w:spacing w:after="120" w:line="360" w:lineRule="auto"/>
        <w:jc w:val="center"/>
        <w:rPr>
          <w:rFonts w:ascii="Times New Roman" w:hAnsi="Times New Roman"/>
          <w:b/>
          <w:sz w:val="24"/>
          <w:szCs w:val="24"/>
        </w:rPr>
      </w:pPr>
      <w:r w:rsidRPr="00E44536">
        <w:rPr>
          <w:rFonts w:ascii="Times New Roman" w:hAnsi="Times New Roman"/>
          <w:b/>
          <w:sz w:val="24"/>
          <w:szCs w:val="24"/>
        </w:rPr>
        <w:t xml:space="preserve">Quadro 4 – Síntese da Cadeias e suas </w:t>
      </w:r>
      <w:proofErr w:type="spellStart"/>
      <w:r w:rsidRPr="00E44536">
        <w:rPr>
          <w:rFonts w:ascii="Times New Roman" w:hAnsi="Times New Roman"/>
          <w:b/>
          <w:sz w:val="24"/>
          <w:szCs w:val="24"/>
        </w:rPr>
        <w:t>Sub-cadeias</w:t>
      </w:r>
      <w:proofErr w:type="spellEnd"/>
      <w:r w:rsidRPr="00E44536">
        <w:rPr>
          <w:rFonts w:ascii="Times New Roman" w:hAnsi="Times New Roman"/>
          <w:b/>
          <w:sz w:val="24"/>
          <w:szCs w:val="24"/>
        </w:rPr>
        <w:t xml:space="preserve"> – Madeira, Mobiliário e Papel</w:t>
      </w:r>
    </w:p>
    <w:p w14:paraId="567C932A" w14:textId="77777777" w:rsidR="00E44536" w:rsidRPr="00E44536" w:rsidRDefault="00E44536" w:rsidP="00AC49D8">
      <w:pPr>
        <w:spacing w:after="120" w:line="360" w:lineRule="auto"/>
        <w:jc w:val="both"/>
        <w:rPr>
          <w:rFonts w:ascii="Times New Roman" w:hAnsi="Times New Roman"/>
          <w:sz w:val="24"/>
          <w:szCs w:val="24"/>
        </w:rPr>
      </w:pPr>
      <w:r w:rsidRPr="00E44536">
        <w:rPr>
          <w:rFonts w:ascii="Times New Roman" w:hAnsi="Times New Roman"/>
          <w:noProof/>
          <w:sz w:val="24"/>
          <w:szCs w:val="24"/>
          <w:lang w:eastAsia="pt-BR"/>
        </w:rPr>
        <w:drawing>
          <wp:inline distT="0" distB="0" distL="0" distR="0" wp14:anchorId="384FEA10" wp14:editId="6CD33822">
            <wp:extent cx="5396230" cy="1515110"/>
            <wp:effectExtent l="0" t="0" r="0" b="8890"/>
            <wp:docPr id="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pic:cNvPicPr>
                      <a:picLocks noChangeAspect="1"/>
                    </pic:cNvPicPr>
                  </pic:nvPicPr>
                  <pic:blipFill>
                    <a:blip r:embed="rId11"/>
                    <a:stretch>
                      <a:fillRect/>
                    </a:stretch>
                  </pic:blipFill>
                  <pic:spPr>
                    <a:xfrm>
                      <a:off x="0" y="0"/>
                      <a:ext cx="5396230" cy="1515110"/>
                    </a:xfrm>
                    <a:prstGeom prst="rect">
                      <a:avLst/>
                    </a:prstGeom>
                  </pic:spPr>
                </pic:pic>
              </a:graphicData>
            </a:graphic>
          </wp:inline>
        </w:drawing>
      </w:r>
    </w:p>
    <w:p w14:paraId="599F414D" w14:textId="6200C6AC"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A cadeia de Madeira, Mobiliário e Papel se subdivide em Papel e Celulose, Desdobramento de Madeira e Mobiliário. Destaca-se a </w:t>
      </w:r>
      <w:proofErr w:type="spellStart"/>
      <w:r w:rsidRPr="00E44536">
        <w:rPr>
          <w:rFonts w:ascii="Times New Roman" w:hAnsi="Times New Roman"/>
          <w:sz w:val="24"/>
          <w:szCs w:val="24"/>
        </w:rPr>
        <w:t>sub-cadeia</w:t>
      </w:r>
      <w:proofErr w:type="spellEnd"/>
      <w:r w:rsidRPr="00E44536">
        <w:rPr>
          <w:rFonts w:ascii="Times New Roman" w:hAnsi="Times New Roman"/>
          <w:sz w:val="24"/>
          <w:szCs w:val="24"/>
        </w:rPr>
        <w:t xml:space="preserve"> de Desdobramento de Madeira com QL de 3,01 e representando 52,9% dos trabalhadores nacionais. A cadeia em si representa 41,6% dos trabalhadores nacionais e tem em média 12,29 trabalhadores por estabelecimentos.</w:t>
      </w:r>
    </w:p>
    <w:p w14:paraId="20E56A18" w14:textId="77777777" w:rsidR="00E44536" w:rsidRPr="00E44536" w:rsidRDefault="00E44536" w:rsidP="009A47A4">
      <w:pPr>
        <w:spacing w:after="120" w:line="360" w:lineRule="auto"/>
        <w:jc w:val="center"/>
        <w:rPr>
          <w:rFonts w:ascii="Times New Roman" w:hAnsi="Times New Roman"/>
          <w:b/>
          <w:sz w:val="24"/>
          <w:szCs w:val="24"/>
        </w:rPr>
      </w:pPr>
      <w:r w:rsidRPr="00E44536">
        <w:rPr>
          <w:rFonts w:ascii="Times New Roman" w:hAnsi="Times New Roman"/>
          <w:b/>
          <w:sz w:val="24"/>
          <w:szCs w:val="24"/>
        </w:rPr>
        <w:t xml:space="preserve">Quadro 5 – Síntese da Cadeias e suas </w:t>
      </w:r>
      <w:proofErr w:type="spellStart"/>
      <w:r w:rsidRPr="00E44536">
        <w:rPr>
          <w:rFonts w:ascii="Times New Roman" w:hAnsi="Times New Roman"/>
          <w:b/>
          <w:sz w:val="24"/>
          <w:szCs w:val="24"/>
        </w:rPr>
        <w:t>Sub-cadeias</w:t>
      </w:r>
      <w:proofErr w:type="spellEnd"/>
      <w:r w:rsidRPr="00E44536">
        <w:rPr>
          <w:rFonts w:ascii="Times New Roman" w:hAnsi="Times New Roman"/>
          <w:b/>
          <w:sz w:val="24"/>
          <w:szCs w:val="24"/>
        </w:rPr>
        <w:t xml:space="preserve"> – Indústria de Base</w:t>
      </w:r>
    </w:p>
    <w:p w14:paraId="1C23D4B8" w14:textId="77777777" w:rsidR="00E44536" w:rsidRPr="00E44536" w:rsidRDefault="00E44536" w:rsidP="00AC49D8">
      <w:pPr>
        <w:spacing w:after="120" w:line="360" w:lineRule="auto"/>
        <w:jc w:val="both"/>
        <w:rPr>
          <w:rFonts w:ascii="Times New Roman" w:hAnsi="Times New Roman"/>
          <w:sz w:val="24"/>
          <w:szCs w:val="24"/>
        </w:rPr>
      </w:pPr>
      <w:r w:rsidRPr="00E44536">
        <w:rPr>
          <w:rFonts w:ascii="Times New Roman" w:hAnsi="Times New Roman"/>
          <w:noProof/>
          <w:sz w:val="24"/>
          <w:szCs w:val="24"/>
          <w:lang w:eastAsia="pt-BR"/>
        </w:rPr>
        <w:drawing>
          <wp:inline distT="0" distB="0" distL="0" distR="0" wp14:anchorId="7E1D65C3" wp14:editId="48D5DBF5">
            <wp:extent cx="5396230" cy="1759585"/>
            <wp:effectExtent l="0" t="0" r="0" b="0"/>
            <wp:docPr id="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5"/>
                    <pic:cNvPicPr>
                      <a:picLocks noChangeAspect="1"/>
                    </pic:cNvPicPr>
                  </pic:nvPicPr>
                  <pic:blipFill>
                    <a:blip r:embed="rId12"/>
                    <a:stretch>
                      <a:fillRect/>
                    </a:stretch>
                  </pic:blipFill>
                  <pic:spPr>
                    <a:xfrm>
                      <a:off x="0" y="0"/>
                      <a:ext cx="5396230" cy="1759585"/>
                    </a:xfrm>
                    <a:prstGeom prst="rect">
                      <a:avLst/>
                    </a:prstGeom>
                  </pic:spPr>
                </pic:pic>
              </a:graphicData>
            </a:graphic>
          </wp:inline>
        </w:drawing>
      </w:r>
    </w:p>
    <w:p w14:paraId="2A2194C5" w14:textId="4B79B790"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Na cadeia da Indústria de Base destacam-se as </w:t>
      </w:r>
      <w:proofErr w:type="spellStart"/>
      <w:r w:rsidRPr="00E44536">
        <w:rPr>
          <w:rFonts w:ascii="Times New Roman" w:hAnsi="Times New Roman"/>
          <w:sz w:val="24"/>
          <w:szCs w:val="24"/>
        </w:rPr>
        <w:t>sub-cadeias</w:t>
      </w:r>
      <w:proofErr w:type="spellEnd"/>
      <w:r w:rsidRPr="00E44536">
        <w:rPr>
          <w:rFonts w:ascii="Times New Roman" w:hAnsi="Times New Roman"/>
          <w:sz w:val="24"/>
          <w:szCs w:val="24"/>
        </w:rPr>
        <w:t xml:space="preserve"> Naval e Máquinas e Equipamentos com </w:t>
      </w:r>
      <w:proofErr w:type="spellStart"/>
      <w:r w:rsidRPr="00E44536">
        <w:rPr>
          <w:rFonts w:ascii="Times New Roman" w:hAnsi="Times New Roman"/>
          <w:sz w:val="24"/>
          <w:szCs w:val="24"/>
        </w:rPr>
        <w:t>QLs</w:t>
      </w:r>
      <w:proofErr w:type="spellEnd"/>
      <w:r w:rsidRPr="00E44536">
        <w:rPr>
          <w:rFonts w:ascii="Times New Roman" w:hAnsi="Times New Roman"/>
          <w:sz w:val="24"/>
          <w:szCs w:val="24"/>
        </w:rPr>
        <w:t xml:space="preserve"> de 1,98 e 1,99 e representam 34,8% e 35,04% dos trabalhadores, respectivamente. A cadeia global ficou com QL de 1,47 e representando 25,8% dos trabalhadores. No número de trabalhadores por estabelecimento a </w:t>
      </w:r>
      <w:proofErr w:type="spellStart"/>
      <w:r w:rsidRPr="00E44536">
        <w:rPr>
          <w:rFonts w:ascii="Times New Roman" w:hAnsi="Times New Roman"/>
          <w:sz w:val="24"/>
          <w:szCs w:val="24"/>
        </w:rPr>
        <w:t>sub-cadeia</w:t>
      </w:r>
      <w:proofErr w:type="spellEnd"/>
      <w:r w:rsidRPr="00E44536">
        <w:rPr>
          <w:rFonts w:ascii="Times New Roman" w:hAnsi="Times New Roman"/>
          <w:sz w:val="24"/>
          <w:szCs w:val="24"/>
        </w:rPr>
        <w:t xml:space="preserve"> Naval </w:t>
      </w:r>
      <w:r w:rsidRPr="00E44536">
        <w:rPr>
          <w:rFonts w:ascii="Times New Roman" w:hAnsi="Times New Roman"/>
          <w:sz w:val="24"/>
          <w:szCs w:val="24"/>
        </w:rPr>
        <w:lastRenderedPageBreak/>
        <w:t xml:space="preserve">apresentou o maior índice (72,57) em comparação com o Brasil (56,56). </w:t>
      </w:r>
      <w:proofErr w:type="gramStart"/>
      <w:r w:rsidRPr="00E44536">
        <w:rPr>
          <w:rFonts w:ascii="Times New Roman" w:hAnsi="Times New Roman"/>
          <w:sz w:val="24"/>
          <w:szCs w:val="24"/>
        </w:rPr>
        <w:t>Por outro lado Material</w:t>
      </w:r>
      <w:proofErr w:type="gramEnd"/>
      <w:r w:rsidRPr="00E44536">
        <w:rPr>
          <w:rFonts w:ascii="Times New Roman" w:hAnsi="Times New Roman"/>
          <w:sz w:val="24"/>
          <w:szCs w:val="24"/>
        </w:rPr>
        <w:t xml:space="preserve"> de Transporte ficou com 50,71 na Região e 75,32 na Nação.</w:t>
      </w:r>
    </w:p>
    <w:p w14:paraId="0BB10BC0" w14:textId="77777777" w:rsidR="00E44536" w:rsidRPr="00E44536" w:rsidRDefault="00E44536" w:rsidP="009A47A4">
      <w:pPr>
        <w:spacing w:after="120" w:line="360" w:lineRule="auto"/>
        <w:jc w:val="center"/>
        <w:rPr>
          <w:rFonts w:ascii="Times New Roman" w:hAnsi="Times New Roman"/>
          <w:b/>
          <w:sz w:val="24"/>
          <w:szCs w:val="24"/>
        </w:rPr>
      </w:pPr>
      <w:r w:rsidRPr="00E44536">
        <w:rPr>
          <w:rFonts w:ascii="Times New Roman" w:hAnsi="Times New Roman"/>
          <w:b/>
          <w:sz w:val="24"/>
          <w:szCs w:val="24"/>
        </w:rPr>
        <w:t xml:space="preserve">Quadro 6 – Síntese da Cadeias e suas </w:t>
      </w:r>
      <w:proofErr w:type="spellStart"/>
      <w:r w:rsidRPr="00E44536">
        <w:rPr>
          <w:rFonts w:ascii="Times New Roman" w:hAnsi="Times New Roman"/>
          <w:b/>
          <w:sz w:val="24"/>
          <w:szCs w:val="24"/>
        </w:rPr>
        <w:t>Sub-cadeias</w:t>
      </w:r>
      <w:proofErr w:type="spellEnd"/>
      <w:r w:rsidRPr="00E44536">
        <w:rPr>
          <w:rFonts w:ascii="Times New Roman" w:hAnsi="Times New Roman"/>
          <w:b/>
          <w:sz w:val="24"/>
          <w:szCs w:val="24"/>
        </w:rPr>
        <w:t xml:space="preserve"> – Têxtil e Vestuário</w:t>
      </w:r>
    </w:p>
    <w:p w14:paraId="221C7142" w14:textId="77777777" w:rsidR="00E44536" w:rsidRPr="00E44536" w:rsidRDefault="00E44536" w:rsidP="00AC49D8">
      <w:pPr>
        <w:spacing w:after="120" w:line="360" w:lineRule="auto"/>
        <w:jc w:val="both"/>
        <w:rPr>
          <w:rFonts w:ascii="Times New Roman" w:hAnsi="Times New Roman"/>
          <w:sz w:val="24"/>
          <w:szCs w:val="24"/>
        </w:rPr>
      </w:pPr>
      <w:r w:rsidRPr="00E44536">
        <w:rPr>
          <w:rFonts w:ascii="Times New Roman" w:hAnsi="Times New Roman"/>
          <w:noProof/>
          <w:sz w:val="24"/>
          <w:szCs w:val="24"/>
          <w:lang w:eastAsia="pt-BR"/>
        </w:rPr>
        <w:drawing>
          <wp:inline distT="0" distB="0" distL="0" distR="0" wp14:anchorId="4F64120E" wp14:editId="4D158AF0">
            <wp:extent cx="5396230" cy="1522095"/>
            <wp:effectExtent l="0" t="0" r="0" b="1905"/>
            <wp:docPr id="10"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pic:cNvPicPr>
                      <a:picLocks noChangeAspect="1"/>
                    </pic:cNvPicPr>
                  </pic:nvPicPr>
                  <pic:blipFill>
                    <a:blip r:embed="rId13"/>
                    <a:stretch>
                      <a:fillRect/>
                    </a:stretch>
                  </pic:blipFill>
                  <pic:spPr>
                    <a:xfrm>
                      <a:off x="0" y="0"/>
                      <a:ext cx="5396230" cy="1522095"/>
                    </a:xfrm>
                    <a:prstGeom prst="rect">
                      <a:avLst/>
                    </a:prstGeom>
                  </pic:spPr>
                </pic:pic>
              </a:graphicData>
            </a:graphic>
          </wp:inline>
        </w:drawing>
      </w:r>
    </w:p>
    <w:p w14:paraId="3831C6C5"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ab/>
        <w:t>A cadeia de Têxtil e Vestuário e Coureiro-calçadista continua com grande representatividade na Região. A cadeia Têxtil e Vestuário apresentou um QL de 1,84 enquanto Coureiro-calçadista 2,08 enquanto representaram 32,44% e 36,59% dos trabalhadores do país. O número de trabalhadores por estabelecimento foi de 12,76 na cadeia Têxtil e Vestuário na Região e 22,08 na cadeia Coureiro-calçadista.</w:t>
      </w:r>
    </w:p>
    <w:p w14:paraId="11AE1E51" w14:textId="7EB8A5F9" w:rsidR="00E44536" w:rsidRPr="00E44536" w:rsidRDefault="00E44536" w:rsidP="009A47A4">
      <w:pPr>
        <w:spacing w:after="120" w:line="360" w:lineRule="auto"/>
        <w:jc w:val="center"/>
        <w:rPr>
          <w:rFonts w:ascii="Times New Roman" w:hAnsi="Times New Roman"/>
          <w:b/>
          <w:sz w:val="24"/>
          <w:szCs w:val="24"/>
        </w:rPr>
      </w:pPr>
      <w:r w:rsidRPr="00E44536">
        <w:rPr>
          <w:rFonts w:ascii="Times New Roman" w:hAnsi="Times New Roman"/>
          <w:b/>
          <w:sz w:val="24"/>
          <w:szCs w:val="24"/>
        </w:rPr>
        <w:t xml:space="preserve">Quadro 7 – Síntese da Cadeias e suas </w:t>
      </w:r>
      <w:proofErr w:type="spellStart"/>
      <w:r w:rsidRPr="00E44536">
        <w:rPr>
          <w:rFonts w:ascii="Times New Roman" w:hAnsi="Times New Roman"/>
          <w:b/>
          <w:sz w:val="24"/>
          <w:szCs w:val="24"/>
        </w:rPr>
        <w:t>Sub-cadeias</w:t>
      </w:r>
      <w:proofErr w:type="spellEnd"/>
      <w:r w:rsidRPr="00E44536">
        <w:rPr>
          <w:rFonts w:ascii="Times New Roman" w:hAnsi="Times New Roman"/>
          <w:b/>
          <w:sz w:val="24"/>
          <w:szCs w:val="24"/>
        </w:rPr>
        <w:t xml:space="preserve"> – Mistas</w:t>
      </w:r>
    </w:p>
    <w:p w14:paraId="5FCDD5B3" w14:textId="77777777" w:rsidR="00E44536" w:rsidRPr="00E44536" w:rsidRDefault="00E44536" w:rsidP="00AC49D8">
      <w:pPr>
        <w:spacing w:after="120" w:line="360" w:lineRule="auto"/>
        <w:jc w:val="both"/>
        <w:rPr>
          <w:rFonts w:ascii="Times New Roman" w:hAnsi="Times New Roman"/>
          <w:sz w:val="24"/>
          <w:szCs w:val="24"/>
        </w:rPr>
      </w:pPr>
      <w:r w:rsidRPr="00E44536">
        <w:rPr>
          <w:rFonts w:ascii="Times New Roman" w:hAnsi="Times New Roman"/>
          <w:noProof/>
          <w:sz w:val="24"/>
          <w:szCs w:val="24"/>
          <w:lang w:eastAsia="pt-BR"/>
        </w:rPr>
        <w:drawing>
          <wp:inline distT="0" distB="0" distL="0" distR="0" wp14:anchorId="4E7FE996" wp14:editId="1C30F583">
            <wp:extent cx="5396230" cy="2209800"/>
            <wp:effectExtent l="0" t="0" r="0" b="0"/>
            <wp:docPr id="1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pic:cNvPicPr>
                      <a:picLocks noChangeAspect="1"/>
                    </pic:cNvPicPr>
                  </pic:nvPicPr>
                  <pic:blipFill>
                    <a:blip r:embed="rId14"/>
                    <a:stretch>
                      <a:fillRect/>
                    </a:stretch>
                  </pic:blipFill>
                  <pic:spPr>
                    <a:xfrm>
                      <a:off x="0" y="0"/>
                      <a:ext cx="5396230" cy="2209800"/>
                    </a:xfrm>
                    <a:prstGeom prst="rect">
                      <a:avLst/>
                    </a:prstGeom>
                  </pic:spPr>
                </pic:pic>
              </a:graphicData>
            </a:graphic>
          </wp:inline>
        </w:drawing>
      </w:r>
    </w:p>
    <w:p w14:paraId="768C30C8" w14:textId="31429C49"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Nas cadeias Mistas destacamos a cadeia de Serviços Prestados a Empresas com QL de 0,89 a mais abaixo das </w:t>
      </w:r>
      <w:proofErr w:type="spellStart"/>
      <w:r w:rsidRPr="00E44536">
        <w:rPr>
          <w:rFonts w:ascii="Times New Roman" w:hAnsi="Times New Roman"/>
          <w:sz w:val="24"/>
          <w:szCs w:val="24"/>
        </w:rPr>
        <w:t>Multifunções</w:t>
      </w:r>
      <w:proofErr w:type="spellEnd"/>
      <w:r w:rsidRPr="00E44536">
        <w:rPr>
          <w:rFonts w:ascii="Times New Roman" w:hAnsi="Times New Roman"/>
          <w:sz w:val="24"/>
          <w:szCs w:val="24"/>
        </w:rPr>
        <w:t xml:space="preserve">. A definição de </w:t>
      </w:r>
      <w:proofErr w:type="spellStart"/>
      <w:r w:rsidRPr="00E44536">
        <w:rPr>
          <w:rFonts w:ascii="Times New Roman" w:hAnsi="Times New Roman"/>
          <w:sz w:val="24"/>
          <w:szCs w:val="24"/>
        </w:rPr>
        <w:t>Multifunção</w:t>
      </w:r>
      <w:proofErr w:type="spellEnd"/>
      <w:r w:rsidRPr="00E44536">
        <w:rPr>
          <w:rFonts w:ascii="Times New Roman" w:hAnsi="Times New Roman"/>
          <w:sz w:val="24"/>
          <w:szCs w:val="24"/>
        </w:rPr>
        <w:t xml:space="preserve"> é dada para as cadeias que em alguns territórios elas podem ocupar um papel de cadeias Propulsivas enquanto em outros Reflexas. Por exemplo, em um município que é um polo educacional a cadeia de Serviços Públicos Básicos – Educação vai apresentar um QL maior do que a unidade, tornando a cadeia propulsiva para este município.</w:t>
      </w:r>
    </w:p>
    <w:p w14:paraId="3AD7173A" w14:textId="4957E97C" w:rsidR="00E44536" w:rsidRPr="00E44536" w:rsidRDefault="00E44536" w:rsidP="009A47A4">
      <w:pPr>
        <w:spacing w:after="120" w:line="360" w:lineRule="auto"/>
        <w:jc w:val="center"/>
        <w:rPr>
          <w:rFonts w:ascii="Times New Roman" w:hAnsi="Times New Roman"/>
          <w:b/>
          <w:sz w:val="24"/>
          <w:szCs w:val="24"/>
        </w:rPr>
      </w:pPr>
      <w:r w:rsidRPr="00E44536">
        <w:rPr>
          <w:rFonts w:ascii="Times New Roman" w:hAnsi="Times New Roman"/>
          <w:b/>
          <w:sz w:val="24"/>
          <w:szCs w:val="24"/>
        </w:rPr>
        <w:lastRenderedPageBreak/>
        <w:t xml:space="preserve">Quadro 8 – Síntese da Cadeias e suas </w:t>
      </w:r>
      <w:proofErr w:type="spellStart"/>
      <w:r w:rsidRPr="00E44536">
        <w:rPr>
          <w:rFonts w:ascii="Times New Roman" w:hAnsi="Times New Roman"/>
          <w:b/>
          <w:sz w:val="24"/>
          <w:szCs w:val="24"/>
        </w:rPr>
        <w:t>Sub-cadeias</w:t>
      </w:r>
      <w:proofErr w:type="spellEnd"/>
      <w:r w:rsidRPr="00E44536">
        <w:rPr>
          <w:rFonts w:ascii="Times New Roman" w:hAnsi="Times New Roman"/>
          <w:b/>
          <w:sz w:val="24"/>
          <w:szCs w:val="24"/>
        </w:rPr>
        <w:t xml:space="preserve"> – Reflexas</w:t>
      </w:r>
    </w:p>
    <w:p w14:paraId="68A2EF7F" w14:textId="77777777" w:rsidR="00E44536" w:rsidRPr="00E44536" w:rsidRDefault="00E44536" w:rsidP="00AC49D8">
      <w:pPr>
        <w:spacing w:after="120" w:line="360" w:lineRule="auto"/>
        <w:jc w:val="both"/>
        <w:rPr>
          <w:rFonts w:ascii="Times New Roman" w:hAnsi="Times New Roman"/>
          <w:sz w:val="24"/>
          <w:szCs w:val="24"/>
        </w:rPr>
      </w:pPr>
      <w:r w:rsidRPr="00E44536">
        <w:rPr>
          <w:rFonts w:ascii="Times New Roman" w:hAnsi="Times New Roman"/>
          <w:noProof/>
          <w:sz w:val="24"/>
          <w:szCs w:val="24"/>
          <w:lang w:eastAsia="pt-BR"/>
        </w:rPr>
        <w:drawing>
          <wp:inline distT="0" distB="0" distL="0" distR="0" wp14:anchorId="1D476A26" wp14:editId="57BFF930">
            <wp:extent cx="5396230" cy="1515110"/>
            <wp:effectExtent l="0" t="0" r="0" b="8890"/>
            <wp:docPr id="1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5"/>
                    <pic:cNvPicPr>
                      <a:picLocks noChangeAspect="1"/>
                    </pic:cNvPicPr>
                  </pic:nvPicPr>
                  <pic:blipFill>
                    <a:blip r:embed="rId15"/>
                    <a:stretch>
                      <a:fillRect/>
                    </a:stretch>
                  </pic:blipFill>
                  <pic:spPr>
                    <a:xfrm>
                      <a:off x="0" y="0"/>
                      <a:ext cx="5396230" cy="1515110"/>
                    </a:xfrm>
                    <a:prstGeom prst="rect">
                      <a:avLst/>
                    </a:prstGeom>
                  </pic:spPr>
                </pic:pic>
              </a:graphicData>
            </a:graphic>
          </wp:inline>
        </w:drawing>
      </w:r>
    </w:p>
    <w:p w14:paraId="4DCADCC3" w14:textId="402EBE2B"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Nas cadeias Reflexas podemos obse</w:t>
      </w:r>
      <w:bookmarkStart w:id="0" w:name="_GoBack"/>
      <w:bookmarkEnd w:id="0"/>
      <w:r w:rsidRPr="00E44536">
        <w:rPr>
          <w:rFonts w:ascii="Times New Roman" w:hAnsi="Times New Roman"/>
          <w:sz w:val="24"/>
          <w:szCs w:val="24"/>
        </w:rPr>
        <w:t xml:space="preserve">rvar que cerca de 36,5% dos trabalhadores da Região Sul estão incorporando esta função, sendo cerca de 24% na cadeia de Bens e Serviços Prestados as Famílias e 12,5% na cadeia de Serviços Prestados as Famílias e Empresas. Como esperado os </w:t>
      </w:r>
      <w:proofErr w:type="spellStart"/>
      <w:r w:rsidRPr="00E44536">
        <w:rPr>
          <w:rFonts w:ascii="Times New Roman" w:hAnsi="Times New Roman"/>
          <w:sz w:val="24"/>
          <w:szCs w:val="24"/>
        </w:rPr>
        <w:t>QLs</w:t>
      </w:r>
      <w:proofErr w:type="spellEnd"/>
      <w:r w:rsidRPr="00E44536">
        <w:rPr>
          <w:rFonts w:ascii="Times New Roman" w:hAnsi="Times New Roman"/>
          <w:sz w:val="24"/>
          <w:szCs w:val="24"/>
        </w:rPr>
        <w:t xml:space="preserve"> desta função ficam em torno da unidade.</w:t>
      </w:r>
    </w:p>
    <w:p w14:paraId="7A8407D1" w14:textId="77777777" w:rsidR="00E44536" w:rsidRPr="00E44536" w:rsidRDefault="00E44536" w:rsidP="00AC49D8">
      <w:pPr>
        <w:spacing w:after="120" w:line="360" w:lineRule="auto"/>
        <w:ind w:firstLine="709"/>
        <w:jc w:val="both"/>
        <w:rPr>
          <w:rFonts w:ascii="Times New Roman" w:hAnsi="Times New Roman"/>
          <w:sz w:val="24"/>
          <w:szCs w:val="24"/>
        </w:rPr>
      </w:pPr>
    </w:p>
    <w:p w14:paraId="362CDB1B" w14:textId="77777777" w:rsidR="00E44536" w:rsidRPr="00E44536" w:rsidRDefault="00E44536" w:rsidP="00AC49D8">
      <w:pPr>
        <w:spacing w:after="120" w:line="360" w:lineRule="auto"/>
        <w:ind w:firstLine="709"/>
        <w:jc w:val="both"/>
        <w:rPr>
          <w:rFonts w:ascii="Times New Roman" w:hAnsi="Times New Roman"/>
          <w:b/>
          <w:sz w:val="24"/>
          <w:szCs w:val="24"/>
        </w:rPr>
      </w:pPr>
      <w:r w:rsidRPr="00E44536">
        <w:rPr>
          <w:rFonts w:ascii="Times New Roman" w:hAnsi="Times New Roman"/>
          <w:b/>
          <w:sz w:val="24"/>
          <w:szCs w:val="24"/>
        </w:rPr>
        <w:t>4. À Guisa de Conclusão</w:t>
      </w:r>
    </w:p>
    <w:p w14:paraId="71DE7026" w14:textId="77777777" w:rsidR="00E44536" w:rsidRPr="00E44536" w:rsidRDefault="00E44536" w:rsidP="00AC49D8">
      <w:pPr>
        <w:spacing w:after="120" w:line="360" w:lineRule="auto"/>
        <w:ind w:firstLine="709"/>
        <w:jc w:val="both"/>
        <w:rPr>
          <w:rFonts w:ascii="Times New Roman" w:hAnsi="Times New Roman"/>
          <w:sz w:val="24"/>
          <w:szCs w:val="24"/>
        </w:rPr>
      </w:pPr>
      <w:r w:rsidRPr="00E44536">
        <w:rPr>
          <w:rFonts w:ascii="Times New Roman" w:hAnsi="Times New Roman"/>
          <w:sz w:val="24"/>
          <w:szCs w:val="24"/>
        </w:rPr>
        <w:t xml:space="preserve">A Região Sul do Brasil apresenta uma estrutura produtiva diversificada, um grau de industrialização superior ao padrão médio nacional e vantagens logísticas relativas em função da proximidade com o Oceano Atlântico e a disponibilidade de um sistema </w:t>
      </w:r>
      <w:proofErr w:type="spellStart"/>
      <w:r w:rsidRPr="00E44536">
        <w:rPr>
          <w:rFonts w:ascii="Times New Roman" w:hAnsi="Times New Roman"/>
          <w:sz w:val="24"/>
          <w:szCs w:val="24"/>
        </w:rPr>
        <w:t>hidro-portuário</w:t>
      </w:r>
      <w:proofErr w:type="spellEnd"/>
      <w:r w:rsidRPr="00E44536">
        <w:rPr>
          <w:rFonts w:ascii="Times New Roman" w:hAnsi="Times New Roman"/>
          <w:sz w:val="24"/>
          <w:szCs w:val="24"/>
        </w:rPr>
        <w:t xml:space="preserve"> mais desenvolvido do que o padrão vigente no país. Não obstante, apresenta graves problemas de ordem logística, associadas a quatro determinações: 1) precocidade do processo de concessão rodoviária, realizado dentro de padrões regulatórios que privilegiaram os ganhos das concessionárias em detrimento dos ganhos dos usuários; 2) sucateamento da malha ferroviária após a privatização da RFFSA sem a introdução de um sistema de regulação que garantisse direito de passagem e contestação às concessões monopolistas; 3) subutilização do modal hidroviário, a despeito de seu elevado potencial num território que comunga do acesso à Bacia do Prata, amplamente utilizada pelos demais países do Cone Sul do Mercosul; 4) ausência de um planejamento do desenvolvimento industrial capaz de associar os Planos Estaduais de Logística e Transporte (</w:t>
      </w:r>
      <w:proofErr w:type="spellStart"/>
      <w:r w:rsidRPr="00E44536">
        <w:rPr>
          <w:rFonts w:ascii="Times New Roman" w:hAnsi="Times New Roman"/>
          <w:sz w:val="24"/>
          <w:szCs w:val="24"/>
        </w:rPr>
        <w:t>PELTs</w:t>
      </w:r>
      <w:proofErr w:type="spellEnd"/>
      <w:r w:rsidRPr="00E44536">
        <w:rPr>
          <w:rFonts w:ascii="Times New Roman" w:hAnsi="Times New Roman"/>
          <w:sz w:val="24"/>
          <w:szCs w:val="24"/>
        </w:rPr>
        <w:t xml:space="preserve">) dos três Estados do Sul ao padrão de especialização produtiva almejado e projetado pelos mesmos na divisão </w:t>
      </w:r>
      <w:proofErr w:type="spellStart"/>
      <w:r w:rsidRPr="00E44536">
        <w:rPr>
          <w:rFonts w:ascii="Times New Roman" w:hAnsi="Times New Roman"/>
          <w:sz w:val="24"/>
          <w:szCs w:val="24"/>
        </w:rPr>
        <w:t>interregional</w:t>
      </w:r>
      <w:proofErr w:type="spellEnd"/>
      <w:r w:rsidRPr="00E44536">
        <w:rPr>
          <w:rFonts w:ascii="Times New Roman" w:hAnsi="Times New Roman"/>
          <w:sz w:val="24"/>
          <w:szCs w:val="24"/>
        </w:rPr>
        <w:t xml:space="preserve"> do trabalho no Brasil.  </w:t>
      </w:r>
    </w:p>
    <w:p w14:paraId="7D815DBC" w14:textId="77777777" w:rsidR="00E44536" w:rsidRPr="00E44536" w:rsidRDefault="00E44536" w:rsidP="00AC49D8">
      <w:pPr>
        <w:spacing w:after="120" w:line="360" w:lineRule="auto"/>
        <w:ind w:firstLine="709"/>
        <w:jc w:val="both"/>
        <w:rPr>
          <w:rFonts w:ascii="Times New Roman" w:hAnsi="Times New Roman"/>
          <w:sz w:val="24"/>
          <w:szCs w:val="24"/>
        </w:rPr>
      </w:pPr>
    </w:p>
    <w:p w14:paraId="66F5DFEB" w14:textId="747AF408" w:rsidR="00E44536" w:rsidRDefault="00E44536" w:rsidP="00AC49D8">
      <w:pPr>
        <w:spacing w:after="120" w:line="360" w:lineRule="auto"/>
        <w:ind w:firstLine="709"/>
        <w:jc w:val="both"/>
        <w:rPr>
          <w:rFonts w:ascii="Times New Roman" w:hAnsi="Times New Roman"/>
          <w:b/>
          <w:sz w:val="28"/>
          <w:szCs w:val="24"/>
        </w:rPr>
      </w:pPr>
      <w:r w:rsidRPr="00AC49D8">
        <w:rPr>
          <w:rFonts w:ascii="Times New Roman" w:hAnsi="Times New Roman"/>
          <w:b/>
          <w:sz w:val="28"/>
          <w:szCs w:val="24"/>
        </w:rPr>
        <w:br w:type="column"/>
      </w:r>
      <w:r w:rsidR="00AC49D8">
        <w:rPr>
          <w:rFonts w:ascii="Times New Roman" w:hAnsi="Times New Roman"/>
          <w:b/>
          <w:sz w:val="28"/>
          <w:szCs w:val="24"/>
        </w:rPr>
        <w:lastRenderedPageBreak/>
        <w:t>BIBLIOGRAFI</w:t>
      </w:r>
      <w:r w:rsidRPr="00AC49D8">
        <w:rPr>
          <w:rFonts w:ascii="Times New Roman" w:hAnsi="Times New Roman"/>
          <w:b/>
          <w:sz w:val="28"/>
          <w:szCs w:val="24"/>
        </w:rPr>
        <w:t>A</w:t>
      </w:r>
    </w:p>
    <w:p w14:paraId="17992CBE" w14:textId="77777777" w:rsidR="00AC49D8" w:rsidRPr="00AC49D8" w:rsidRDefault="00AC49D8" w:rsidP="00AC49D8">
      <w:pPr>
        <w:spacing w:after="120" w:line="360" w:lineRule="auto"/>
        <w:ind w:firstLine="709"/>
        <w:jc w:val="both"/>
        <w:rPr>
          <w:rFonts w:ascii="Times New Roman" w:hAnsi="Times New Roman"/>
          <w:b/>
          <w:sz w:val="28"/>
          <w:szCs w:val="24"/>
        </w:rPr>
      </w:pPr>
    </w:p>
    <w:p w14:paraId="019C267F" w14:textId="77777777" w:rsidR="00E44536" w:rsidRPr="00E44536" w:rsidRDefault="00E44536" w:rsidP="00AC49D8">
      <w:pPr>
        <w:widowControl w:val="0"/>
        <w:autoSpaceDE w:val="0"/>
        <w:autoSpaceDN w:val="0"/>
        <w:adjustRightInd w:val="0"/>
        <w:spacing w:after="120" w:line="360" w:lineRule="auto"/>
        <w:ind w:left="709" w:hanging="709"/>
        <w:jc w:val="both"/>
        <w:rPr>
          <w:rFonts w:ascii="Times New Roman" w:hAnsi="Times New Roman"/>
          <w:bCs/>
          <w:sz w:val="24"/>
          <w:szCs w:val="24"/>
        </w:rPr>
      </w:pPr>
      <w:r w:rsidRPr="00E44536">
        <w:rPr>
          <w:rFonts w:ascii="Times New Roman" w:hAnsi="Times New Roman"/>
          <w:sz w:val="24"/>
          <w:szCs w:val="24"/>
        </w:rPr>
        <w:t xml:space="preserve">DAYCHOUN, M. T. (2014). </w:t>
      </w:r>
      <w:r w:rsidRPr="00E44536">
        <w:rPr>
          <w:rFonts w:ascii="Times New Roman" w:hAnsi="Times New Roman"/>
          <w:i/>
          <w:sz w:val="24"/>
          <w:szCs w:val="24"/>
        </w:rPr>
        <w:t xml:space="preserve">Regulação e Concorrência no Transporte Ferroviário: as experiências brasileira e alemã. </w:t>
      </w:r>
      <w:r w:rsidRPr="00E44536">
        <w:rPr>
          <w:rFonts w:ascii="Times New Roman" w:hAnsi="Times New Roman"/>
          <w:sz w:val="24"/>
          <w:szCs w:val="24"/>
        </w:rPr>
        <w:t>Ministério da Fazenda - IX Prêmio SEAE. Disponível no endereço: http://www.seae.fazenda.gov.br/premio-seae/edicoes-anteriores/edicao-2014/ix-premio-seae-2014/Tema%202-MH%20-%20Mariam%20Tchepurnaya%20Daychoum%20-%20032.pdf</w:t>
      </w:r>
      <w:r w:rsidRPr="00E44536">
        <w:rPr>
          <w:rFonts w:ascii="Times New Roman" w:hAnsi="Times New Roman"/>
          <w:bCs/>
          <w:sz w:val="24"/>
          <w:szCs w:val="24"/>
        </w:rPr>
        <w:t xml:space="preserve">            </w:t>
      </w:r>
    </w:p>
    <w:p w14:paraId="5E7D8DBB" w14:textId="77777777" w:rsidR="00E44536" w:rsidRPr="00E44536" w:rsidRDefault="00E44536" w:rsidP="00AC49D8">
      <w:pPr>
        <w:widowControl w:val="0"/>
        <w:autoSpaceDE w:val="0"/>
        <w:autoSpaceDN w:val="0"/>
        <w:adjustRightInd w:val="0"/>
        <w:spacing w:after="120" w:line="360" w:lineRule="auto"/>
        <w:ind w:left="709" w:hanging="709"/>
        <w:jc w:val="both"/>
        <w:rPr>
          <w:rFonts w:ascii="Times New Roman" w:eastAsia="Times New Roman" w:hAnsi="Times New Roman"/>
          <w:iCs/>
          <w:color w:val="000000"/>
          <w:sz w:val="24"/>
          <w:szCs w:val="24"/>
        </w:rPr>
      </w:pPr>
      <w:r w:rsidRPr="00E44536">
        <w:rPr>
          <w:rFonts w:ascii="Times New Roman" w:eastAsia="Times New Roman" w:hAnsi="Times New Roman"/>
          <w:sz w:val="24"/>
          <w:szCs w:val="24"/>
        </w:rPr>
        <w:t xml:space="preserve">MINISTÉRIO DO TRABALHO E EMPREGO (2018) </w:t>
      </w:r>
      <w:r w:rsidRPr="00E44536">
        <w:rPr>
          <w:rFonts w:ascii="Times New Roman" w:eastAsia="Times New Roman" w:hAnsi="Times New Roman"/>
          <w:i/>
          <w:iCs/>
          <w:color w:val="000000"/>
          <w:sz w:val="24"/>
          <w:szCs w:val="24"/>
        </w:rPr>
        <w:t xml:space="preserve">RAIS - Relação Anual de Informações Sociais – 2016. </w:t>
      </w:r>
      <w:r w:rsidRPr="00E44536">
        <w:rPr>
          <w:rFonts w:ascii="Times New Roman" w:eastAsia="Times New Roman" w:hAnsi="Times New Roman"/>
          <w:iCs/>
          <w:color w:val="000000"/>
          <w:sz w:val="24"/>
          <w:szCs w:val="24"/>
        </w:rPr>
        <w:t xml:space="preserve"> </w:t>
      </w:r>
      <w:proofErr w:type="spellStart"/>
      <w:r w:rsidRPr="00E44536">
        <w:rPr>
          <w:rFonts w:ascii="Times New Roman" w:eastAsia="Times New Roman" w:hAnsi="Times New Roman"/>
          <w:iCs/>
          <w:color w:val="000000"/>
          <w:sz w:val="24"/>
          <w:szCs w:val="24"/>
        </w:rPr>
        <w:t>Disp</w:t>
      </w:r>
      <w:proofErr w:type="spellEnd"/>
      <w:r w:rsidRPr="00E44536">
        <w:rPr>
          <w:rFonts w:ascii="Times New Roman" w:eastAsia="Times New Roman" w:hAnsi="Times New Roman"/>
          <w:iCs/>
          <w:color w:val="000000"/>
          <w:sz w:val="24"/>
          <w:szCs w:val="24"/>
        </w:rPr>
        <w:t xml:space="preserve">. em: </w:t>
      </w:r>
      <w:hyperlink r:id="rId16" w:history="1">
        <w:r w:rsidRPr="00E44536">
          <w:rPr>
            <w:rStyle w:val="Hyperlink"/>
            <w:rFonts w:ascii="Times New Roman" w:eastAsia="Times New Roman" w:hAnsi="Times New Roman"/>
            <w:sz w:val="24"/>
            <w:szCs w:val="24"/>
          </w:rPr>
          <w:t>http://bi.mte.gov.br/bgcaged/login.php</w:t>
        </w:r>
      </w:hyperlink>
      <w:r w:rsidRPr="00E44536">
        <w:rPr>
          <w:rFonts w:ascii="Times New Roman" w:eastAsia="Times New Roman" w:hAnsi="Times New Roman"/>
          <w:sz w:val="24"/>
          <w:szCs w:val="24"/>
        </w:rPr>
        <w:t>. Acesso em 20/06/2018.</w:t>
      </w:r>
    </w:p>
    <w:p w14:paraId="11B33699" w14:textId="77777777" w:rsidR="00E44536" w:rsidRPr="00E44536" w:rsidRDefault="00E44536" w:rsidP="00AC49D8">
      <w:pPr>
        <w:widowControl w:val="0"/>
        <w:autoSpaceDE w:val="0"/>
        <w:autoSpaceDN w:val="0"/>
        <w:adjustRightInd w:val="0"/>
        <w:spacing w:after="120" w:line="360" w:lineRule="auto"/>
        <w:ind w:left="709" w:hanging="709"/>
        <w:jc w:val="both"/>
        <w:rPr>
          <w:rFonts w:ascii="Times New Roman" w:hAnsi="Times New Roman"/>
          <w:bCs/>
          <w:sz w:val="24"/>
          <w:szCs w:val="24"/>
        </w:rPr>
      </w:pPr>
      <w:r w:rsidRPr="00E44536">
        <w:rPr>
          <w:rFonts w:ascii="Times New Roman" w:hAnsi="Times New Roman"/>
          <w:bCs/>
          <w:sz w:val="24"/>
          <w:szCs w:val="24"/>
        </w:rPr>
        <w:t>RITTNER</w:t>
      </w:r>
      <w:r w:rsidRPr="00E44536">
        <w:rPr>
          <w:rFonts w:ascii="Times New Roman" w:hAnsi="Times New Roman"/>
          <w:sz w:val="24"/>
          <w:szCs w:val="24"/>
        </w:rPr>
        <w:t xml:space="preserve">, D. (2013) “Modelo de concessões de ferrovias não tem amparo legal, adverte TCU”. </w:t>
      </w:r>
      <w:r w:rsidRPr="00E44536">
        <w:rPr>
          <w:rFonts w:ascii="Times New Roman" w:hAnsi="Times New Roman"/>
          <w:i/>
          <w:iCs/>
          <w:sz w:val="24"/>
          <w:szCs w:val="24"/>
        </w:rPr>
        <w:t xml:space="preserve">Jornal Valor Econômico, </w:t>
      </w:r>
      <w:r w:rsidRPr="00E44536">
        <w:rPr>
          <w:rFonts w:ascii="Times New Roman" w:hAnsi="Times New Roman"/>
          <w:sz w:val="24"/>
          <w:szCs w:val="24"/>
        </w:rPr>
        <w:t>10 set. 2013. Disponível em: http://www.valor.com.br/brasil/3264408/modelo-de-concessoes-de-ferrovias-nao- tem-amparo-legal-adverte-</w:t>
      </w:r>
      <w:proofErr w:type="spellStart"/>
      <w:r w:rsidRPr="00E44536">
        <w:rPr>
          <w:rFonts w:ascii="Times New Roman" w:hAnsi="Times New Roman"/>
          <w:sz w:val="24"/>
          <w:szCs w:val="24"/>
        </w:rPr>
        <w:t>tcu</w:t>
      </w:r>
      <w:proofErr w:type="spellEnd"/>
      <w:r w:rsidRPr="00E44536">
        <w:rPr>
          <w:rFonts w:ascii="Times New Roman" w:hAnsi="Times New Roman"/>
          <w:sz w:val="24"/>
          <w:szCs w:val="24"/>
        </w:rPr>
        <w:t xml:space="preserve">  </w:t>
      </w:r>
    </w:p>
    <w:p w14:paraId="23424D99" w14:textId="77777777" w:rsidR="00E44536" w:rsidRPr="00E44536" w:rsidRDefault="00E44536" w:rsidP="00AC49D8">
      <w:pPr>
        <w:widowControl w:val="0"/>
        <w:autoSpaceDE w:val="0"/>
        <w:autoSpaceDN w:val="0"/>
        <w:adjustRightInd w:val="0"/>
        <w:spacing w:after="120" w:line="360" w:lineRule="auto"/>
        <w:ind w:left="709" w:hanging="709"/>
        <w:jc w:val="both"/>
        <w:rPr>
          <w:rFonts w:ascii="Times New Roman" w:hAnsi="Times New Roman"/>
          <w:sz w:val="24"/>
          <w:szCs w:val="24"/>
        </w:rPr>
      </w:pPr>
      <w:r w:rsidRPr="00E44536">
        <w:rPr>
          <w:rFonts w:ascii="Times New Roman" w:hAnsi="Times New Roman"/>
          <w:bCs/>
          <w:sz w:val="24"/>
          <w:szCs w:val="24"/>
        </w:rPr>
        <w:t>RITTNER</w:t>
      </w:r>
      <w:r w:rsidRPr="00E44536">
        <w:rPr>
          <w:rFonts w:ascii="Times New Roman" w:hAnsi="Times New Roman"/>
          <w:sz w:val="24"/>
          <w:szCs w:val="24"/>
        </w:rPr>
        <w:t xml:space="preserve">, D. e </w:t>
      </w:r>
      <w:r w:rsidRPr="00E44536">
        <w:rPr>
          <w:rFonts w:ascii="Times New Roman" w:hAnsi="Times New Roman"/>
          <w:bCs/>
          <w:sz w:val="24"/>
          <w:szCs w:val="24"/>
        </w:rPr>
        <w:t>VELOSO</w:t>
      </w:r>
      <w:r w:rsidRPr="00E44536">
        <w:rPr>
          <w:rFonts w:ascii="Times New Roman" w:hAnsi="Times New Roman"/>
          <w:sz w:val="24"/>
          <w:szCs w:val="24"/>
        </w:rPr>
        <w:t xml:space="preserve">, T. (2013a). TCU: modelo para concessão de ferrovias não está claro. </w:t>
      </w:r>
      <w:r w:rsidRPr="00E44536">
        <w:rPr>
          <w:rFonts w:ascii="Times New Roman" w:hAnsi="Times New Roman"/>
          <w:i/>
          <w:iCs/>
          <w:sz w:val="24"/>
          <w:szCs w:val="24"/>
        </w:rPr>
        <w:t xml:space="preserve">Jornal Valor Econômico, </w:t>
      </w:r>
      <w:r w:rsidRPr="00E44536">
        <w:rPr>
          <w:rFonts w:ascii="Times New Roman" w:hAnsi="Times New Roman"/>
          <w:sz w:val="24"/>
          <w:szCs w:val="24"/>
        </w:rPr>
        <w:t xml:space="preserve">23 set. 2013. Disponível em: http://www.valor.com.br/brasil/3280116/tcu-modelo-para-concessoes-de-ferrovias- </w:t>
      </w:r>
      <w:proofErr w:type="spellStart"/>
      <w:r w:rsidRPr="00E44536">
        <w:rPr>
          <w:rFonts w:ascii="Times New Roman" w:hAnsi="Times New Roman"/>
          <w:sz w:val="24"/>
          <w:szCs w:val="24"/>
        </w:rPr>
        <w:t>nao</w:t>
      </w:r>
      <w:proofErr w:type="spellEnd"/>
      <w:r w:rsidRPr="00E44536">
        <w:rPr>
          <w:rFonts w:ascii="Times New Roman" w:hAnsi="Times New Roman"/>
          <w:sz w:val="24"/>
          <w:szCs w:val="24"/>
        </w:rPr>
        <w:t>-esta-claro</w:t>
      </w:r>
    </w:p>
    <w:p w14:paraId="41A79B08" w14:textId="77777777" w:rsidR="00E44536" w:rsidRPr="00E44536" w:rsidRDefault="00E44536" w:rsidP="00AC49D8">
      <w:pPr>
        <w:widowControl w:val="0"/>
        <w:autoSpaceDE w:val="0"/>
        <w:autoSpaceDN w:val="0"/>
        <w:adjustRightInd w:val="0"/>
        <w:spacing w:after="120" w:line="360" w:lineRule="auto"/>
        <w:ind w:left="709" w:hanging="709"/>
        <w:jc w:val="both"/>
        <w:rPr>
          <w:rFonts w:ascii="Times New Roman" w:hAnsi="Times New Roman"/>
          <w:sz w:val="24"/>
          <w:szCs w:val="24"/>
        </w:rPr>
      </w:pPr>
      <w:r w:rsidRPr="00E44536">
        <w:rPr>
          <w:rFonts w:ascii="Times New Roman" w:hAnsi="Times New Roman"/>
          <w:bCs/>
          <w:sz w:val="24"/>
          <w:szCs w:val="24"/>
        </w:rPr>
        <w:t>RITTNER</w:t>
      </w:r>
      <w:r w:rsidRPr="00E44536">
        <w:rPr>
          <w:rFonts w:ascii="Times New Roman" w:hAnsi="Times New Roman"/>
          <w:sz w:val="24"/>
          <w:szCs w:val="24"/>
        </w:rPr>
        <w:t xml:space="preserve">, D. e </w:t>
      </w:r>
      <w:r w:rsidRPr="00E44536">
        <w:rPr>
          <w:rFonts w:ascii="Times New Roman" w:hAnsi="Times New Roman"/>
          <w:bCs/>
          <w:sz w:val="24"/>
          <w:szCs w:val="24"/>
        </w:rPr>
        <w:t>VELOSO</w:t>
      </w:r>
      <w:r w:rsidRPr="00E44536">
        <w:rPr>
          <w:rFonts w:ascii="Times New Roman" w:hAnsi="Times New Roman"/>
          <w:sz w:val="24"/>
          <w:szCs w:val="24"/>
        </w:rPr>
        <w:t xml:space="preserve">, T. (2013b) “TCU quer regras mais claras para modelo de licitação de ferrovias”. </w:t>
      </w:r>
      <w:r w:rsidRPr="00E44536">
        <w:rPr>
          <w:rFonts w:ascii="Times New Roman" w:hAnsi="Times New Roman"/>
          <w:i/>
          <w:iCs/>
          <w:sz w:val="24"/>
          <w:szCs w:val="24"/>
        </w:rPr>
        <w:t xml:space="preserve">Jornal Valor Econômico, </w:t>
      </w:r>
      <w:r w:rsidRPr="00E44536">
        <w:rPr>
          <w:rFonts w:ascii="Times New Roman" w:hAnsi="Times New Roman"/>
          <w:sz w:val="24"/>
          <w:szCs w:val="24"/>
        </w:rPr>
        <w:t xml:space="preserve">24 set. 2013. Disponível em: http://www.valor.com.br/brasil/3280464/tcu-quer-regras-mais-claras-para-modelo-de- </w:t>
      </w:r>
      <w:proofErr w:type="spellStart"/>
      <w:r w:rsidRPr="00E44536">
        <w:rPr>
          <w:rFonts w:ascii="Times New Roman" w:hAnsi="Times New Roman"/>
          <w:sz w:val="24"/>
          <w:szCs w:val="24"/>
        </w:rPr>
        <w:t>licitacao</w:t>
      </w:r>
      <w:proofErr w:type="spellEnd"/>
      <w:r w:rsidRPr="00E44536">
        <w:rPr>
          <w:rFonts w:ascii="Times New Roman" w:hAnsi="Times New Roman"/>
          <w:sz w:val="24"/>
          <w:szCs w:val="24"/>
        </w:rPr>
        <w:t xml:space="preserve">-de-ferrovias </w:t>
      </w:r>
    </w:p>
    <w:p w14:paraId="6725D1FE" w14:textId="4A04D055" w:rsidR="00AC49D8" w:rsidRPr="00AC49D8" w:rsidRDefault="00E44536" w:rsidP="00AC49D8">
      <w:pPr>
        <w:widowControl w:val="0"/>
        <w:autoSpaceDE w:val="0"/>
        <w:autoSpaceDN w:val="0"/>
        <w:adjustRightInd w:val="0"/>
        <w:spacing w:after="120" w:line="360" w:lineRule="auto"/>
        <w:ind w:left="709" w:hanging="709"/>
        <w:jc w:val="both"/>
        <w:rPr>
          <w:rFonts w:ascii="Times New Roman" w:hAnsi="Times New Roman"/>
          <w:sz w:val="24"/>
          <w:szCs w:val="24"/>
        </w:rPr>
      </w:pPr>
      <w:r w:rsidRPr="00E44536">
        <w:rPr>
          <w:rFonts w:ascii="Times New Roman" w:hAnsi="Times New Roman"/>
          <w:iCs/>
          <w:sz w:val="24"/>
          <w:szCs w:val="24"/>
        </w:rPr>
        <w:t xml:space="preserve">SILVEIRA COSTA, L. S. (2004). </w:t>
      </w:r>
      <w:r w:rsidRPr="00E44536">
        <w:rPr>
          <w:rFonts w:ascii="Times New Roman" w:hAnsi="Times New Roman"/>
          <w:i/>
          <w:iCs/>
          <w:sz w:val="24"/>
          <w:szCs w:val="24"/>
        </w:rPr>
        <w:t xml:space="preserve">As Hidrovias Interiores no Brasil, </w:t>
      </w:r>
      <w:r w:rsidRPr="00E44536">
        <w:rPr>
          <w:rFonts w:ascii="Times New Roman" w:hAnsi="Times New Roman"/>
          <w:sz w:val="24"/>
          <w:szCs w:val="24"/>
        </w:rPr>
        <w:t xml:space="preserve">3oed. – Rio de Janeiro: Editora </w:t>
      </w:r>
      <w:proofErr w:type="spellStart"/>
      <w:r w:rsidRPr="00E44536">
        <w:rPr>
          <w:rFonts w:ascii="Times New Roman" w:hAnsi="Times New Roman"/>
          <w:sz w:val="24"/>
          <w:szCs w:val="24"/>
        </w:rPr>
        <w:t>Fenavega</w:t>
      </w:r>
      <w:proofErr w:type="spellEnd"/>
      <w:r w:rsidRPr="00E44536">
        <w:rPr>
          <w:rFonts w:ascii="Times New Roman" w:hAnsi="Times New Roman"/>
          <w:sz w:val="24"/>
          <w:szCs w:val="24"/>
        </w:rPr>
        <w:t>.</w:t>
      </w:r>
    </w:p>
    <w:sectPr w:rsidR="00AC49D8" w:rsidRPr="00AC49D8" w:rsidSect="00E44536">
      <w:headerReference w:type="even" r:id="rId17"/>
      <w:headerReference w:type="default" r:id="rId18"/>
      <w:footerReference w:type="even" r:id="rId19"/>
      <w:footerReference w:type="default" r:id="rId20"/>
      <w:headerReference w:type="first" r:id="rId21"/>
      <w:footerReference w:type="first" r:id="rId22"/>
      <w:pgSz w:w="11900" w:h="16840"/>
      <w:pgMar w:top="1417" w:right="1701" w:bottom="1417" w:left="1701" w:header="992"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39B7F" w14:textId="77777777" w:rsidR="00A27756" w:rsidRDefault="00A27756">
      <w:pPr>
        <w:spacing w:after="0" w:line="240" w:lineRule="auto"/>
      </w:pPr>
      <w:r>
        <w:separator/>
      </w:r>
    </w:p>
  </w:endnote>
  <w:endnote w:type="continuationSeparator" w:id="0">
    <w:p w14:paraId="5EAC9F8C" w14:textId="77777777" w:rsidR="00A27756" w:rsidRDefault="00A27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C9185" w14:textId="77777777" w:rsidR="00C76CD7" w:rsidRDefault="00C76CD7" w:rsidP="00CE3D0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A74907" w14:textId="77777777" w:rsidR="00C76CD7" w:rsidRDefault="00C76CD7" w:rsidP="00CE3D0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46FAE" w14:textId="77777777" w:rsidR="00C76CD7" w:rsidRDefault="00C76CD7" w:rsidP="00CE3D09">
    <w:pPr>
      <w:pStyle w:val="Rodap"/>
      <w:framePr w:wrap="around" w:vAnchor="text" w:hAnchor="margin" w:xAlign="right" w:y="1"/>
      <w:rPr>
        <w:rStyle w:val="Nmerodepgina"/>
      </w:rPr>
    </w:pPr>
  </w:p>
  <w:p w14:paraId="745D3DF3" w14:textId="2DFC2F89" w:rsidR="00C76CD7" w:rsidRPr="00823551" w:rsidRDefault="00C76CD7" w:rsidP="004C6666">
    <w:pPr>
      <w:pStyle w:val="Cabealho"/>
      <w:ind w:right="360"/>
      <w:jc w:val="center"/>
      <w:rPr>
        <w:rFonts w:ascii="Arial" w:hAnsi="Arial" w:cs="Arial"/>
        <w:b/>
        <w:sz w:val="20"/>
        <w:szCs w:val="20"/>
      </w:rPr>
    </w:pPr>
    <w:r w:rsidRPr="00823551">
      <w:rPr>
        <w:rFonts w:ascii="Arial" w:hAnsi="Arial" w:cs="Arial"/>
        <w:b/>
        <w:sz w:val="20"/>
        <w:szCs w:val="20"/>
      </w:rPr>
      <w:t>Paradoxo Consultoria Ltda</w:t>
    </w:r>
    <w:r w:rsidR="004C6666">
      <w:rPr>
        <w:rFonts w:ascii="Arial" w:hAnsi="Arial" w:cs="Arial"/>
        <w:b/>
        <w:sz w:val="20"/>
        <w:szCs w:val="20"/>
      </w:rPr>
      <w:t xml:space="preserve"> </w:t>
    </w:r>
    <w:r>
      <w:rPr>
        <w:rFonts w:ascii="Arial" w:hAnsi="Arial" w:cs="Arial"/>
        <w:b/>
        <w:sz w:val="20"/>
        <w:szCs w:val="20"/>
      </w:rPr>
      <w:t>- CNPJ: nº 18.649.429/0001-70</w:t>
    </w:r>
  </w:p>
  <w:p w14:paraId="28912F75" w14:textId="77777777" w:rsidR="004C6666" w:rsidRDefault="00C76CD7" w:rsidP="004C6666">
    <w:pPr>
      <w:pStyle w:val="Cabealho"/>
      <w:jc w:val="center"/>
      <w:rPr>
        <w:rFonts w:ascii="Arial" w:hAnsi="Arial" w:cs="Arial"/>
        <w:sz w:val="20"/>
        <w:szCs w:val="20"/>
      </w:rPr>
    </w:pPr>
    <w:r>
      <w:rPr>
        <w:rFonts w:ascii="Arial" w:hAnsi="Arial" w:cs="Arial"/>
        <w:sz w:val="20"/>
        <w:szCs w:val="20"/>
      </w:rPr>
      <w:t xml:space="preserve">Rua Jacinto Gomes, nº 223, Apartamento 31. Bairro Santana. Porto Alegre – RS. </w:t>
    </w:r>
  </w:p>
  <w:p w14:paraId="381E8804" w14:textId="64D65546" w:rsidR="00C76CD7" w:rsidRDefault="00C76CD7" w:rsidP="004C6666">
    <w:pPr>
      <w:pStyle w:val="Cabealho"/>
      <w:jc w:val="center"/>
      <w:rPr>
        <w:rFonts w:ascii="Arial" w:hAnsi="Arial" w:cs="Arial"/>
        <w:sz w:val="20"/>
        <w:szCs w:val="20"/>
      </w:rPr>
    </w:pPr>
    <w:r>
      <w:rPr>
        <w:rFonts w:ascii="Arial" w:hAnsi="Arial" w:cs="Arial"/>
        <w:sz w:val="20"/>
        <w:szCs w:val="20"/>
      </w:rPr>
      <w:t>Fone: 51 3219-0004</w:t>
    </w:r>
  </w:p>
  <w:p w14:paraId="0654DB4C" w14:textId="77777777" w:rsidR="00C76CD7" w:rsidRPr="007B7599" w:rsidRDefault="00A27756" w:rsidP="004C6666">
    <w:pPr>
      <w:pStyle w:val="Rodap"/>
      <w:jc w:val="center"/>
      <w:rPr>
        <w:rFonts w:ascii="Arial" w:hAnsi="Arial" w:cs="Arial"/>
        <w:sz w:val="20"/>
        <w:szCs w:val="20"/>
      </w:rPr>
    </w:pPr>
    <w:hyperlink r:id="rId1" w:history="1">
      <w:r w:rsidR="00C76CD7" w:rsidRPr="007B7599">
        <w:rPr>
          <w:rStyle w:val="Hyperlink"/>
          <w:rFonts w:ascii="Arial" w:hAnsi="Arial" w:cs="Arial"/>
          <w:sz w:val="20"/>
          <w:szCs w:val="20"/>
        </w:rPr>
        <w:t>http://www.paradoxoconsultoria.com.br/</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ADD5A" w14:textId="77777777" w:rsidR="004C6666" w:rsidRPr="00823551" w:rsidRDefault="004C6666" w:rsidP="004C6666">
    <w:pPr>
      <w:pStyle w:val="Cabealho"/>
      <w:ind w:right="360"/>
      <w:jc w:val="center"/>
      <w:rPr>
        <w:rFonts w:ascii="Arial" w:hAnsi="Arial" w:cs="Arial"/>
        <w:b/>
        <w:sz w:val="20"/>
        <w:szCs w:val="20"/>
      </w:rPr>
    </w:pPr>
    <w:r w:rsidRPr="00823551">
      <w:rPr>
        <w:rFonts w:ascii="Arial" w:hAnsi="Arial" w:cs="Arial"/>
        <w:b/>
        <w:sz w:val="20"/>
        <w:szCs w:val="20"/>
      </w:rPr>
      <w:t>Paradoxo Consultoria Ltda</w:t>
    </w:r>
    <w:r>
      <w:rPr>
        <w:rFonts w:ascii="Arial" w:hAnsi="Arial" w:cs="Arial"/>
        <w:b/>
        <w:sz w:val="20"/>
        <w:szCs w:val="20"/>
      </w:rPr>
      <w:t xml:space="preserve"> - CNPJ: nº 18.649.429/0001-70</w:t>
    </w:r>
  </w:p>
  <w:p w14:paraId="222AB27E" w14:textId="77777777" w:rsidR="004C6666" w:rsidRDefault="004C6666" w:rsidP="004C6666">
    <w:pPr>
      <w:pStyle w:val="Cabealho"/>
      <w:jc w:val="center"/>
      <w:rPr>
        <w:rFonts w:ascii="Arial" w:hAnsi="Arial" w:cs="Arial"/>
        <w:sz w:val="20"/>
        <w:szCs w:val="20"/>
      </w:rPr>
    </w:pPr>
    <w:r>
      <w:rPr>
        <w:rFonts w:ascii="Arial" w:hAnsi="Arial" w:cs="Arial"/>
        <w:sz w:val="20"/>
        <w:szCs w:val="20"/>
      </w:rPr>
      <w:t xml:space="preserve">Rua Jacinto Gomes, nº 223, Apartamento 31. Bairro Santana. Porto Alegre – RS. </w:t>
    </w:r>
  </w:p>
  <w:p w14:paraId="5B0E5BB8" w14:textId="77777777" w:rsidR="004C6666" w:rsidRDefault="004C6666" w:rsidP="004C6666">
    <w:pPr>
      <w:pStyle w:val="Cabealho"/>
      <w:jc w:val="center"/>
      <w:rPr>
        <w:rFonts w:ascii="Arial" w:hAnsi="Arial" w:cs="Arial"/>
        <w:sz w:val="20"/>
        <w:szCs w:val="20"/>
      </w:rPr>
    </w:pPr>
    <w:r>
      <w:rPr>
        <w:rFonts w:ascii="Arial" w:hAnsi="Arial" w:cs="Arial"/>
        <w:sz w:val="20"/>
        <w:szCs w:val="20"/>
      </w:rPr>
      <w:t>Fone: 51 3219-0004</w:t>
    </w:r>
  </w:p>
  <w:p w14:paraId="5463254D" w14:textId="79FBA493" w:rsidR="004C6666" w:rsidRPr="004C6666" w:rsidRDefault="00A27756" w:rsidP="004C6666">
    <w:pPr>
      <w:pStyle w:val="Rodap"/>
      <w:jc w:val="center"/>
      <w:rPr>
        <w:rFonts w:ascii="Arial" w:hAnsi="Arial" w:cs="Arial"/>
        <w:sz w:val="20"/>
        <w:szCs w:val="20"/>
      </w:rPr>
    </w:pPr>
    <w:hyperlink r:id="rId1" w:history="1">
      <w:r w:rsidR="004C6666" w:rsidRPr="007B7599">
        <w:rPr>
          <w:rStyle w:val="Hyperlink"/>
          <w:rFonts w:ascii="Arial" w:hAnsi="Arial" w:cs="Arial"/>
          <w:sz w:val="20"/>
          <w:szCs w:val="20"/>
        </w:rPr>
        <w:t>http://www.paradoxoconsultoria.com.br/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BE213" w14:textId="77777777" w:rsidR="00A27756" w:rsidRDefault="00A27756">
      <w:pPr>
        <w:spacing w:after="0" w:line="240" w:lineRule="auto"/>
      </w:pPr>
      <w:r>
        <w:separator/>
      </w:r>
    </w:p>
  </w:footnote>
  <w:footnote w:type="continuationSeparator" w:id="0">
    <w:p w14:paraId="53544242" w14:textId="77777777" w:rsidR="00A27756" w:rsidRDefault="00A27756">
      <w:pPr>
        <w:spacing w:after="0" w:line="240" w:lineRule="auto"/>
      </w:pPr>
      <w:r>
        <w:continuationSeparator/>
      </w:r>
    </w:p>
  </w:footnote>
  <w:footnote w:id="1">
    <w:p w14:paraId="7AC787EA" w14:textId="77777777" w:rsidR="00E44536" w:rsidRPr="00E44536" w:rsidRDefault="00E44536" w:rsidP="00E44536">
      <w:pPr>
        <w:pStyle w:val="Textodenotaderodap"/>
        <w:rPr>
          <w:rFonts w:cs="Times New Roman"/>
          <w:sz w:val="20"/>
          <w:szCs w:val="20"/>
        </w:rPr>
      </w:pPr>
      <w:r w:rsidRPr="00E44536">
        <w:rPr>
          <w:rStyle w:val="Refdenotaderodap"/>
          <w:rFonts w:cs="Times New Roman"/>
          <w:sz w:val="20"/>
          <w:szCs w:val="20"/>
        </w:rPr>
        <w:footnoteRef/>
      </w:r>
      <w:r w:rsidRPr="00E44536">
        <w:rPr>
          <w:rFonts w:cs="Times New Roman"/>
          <w:sz w:val="20"/>
          <w:szCs w:val="20"/>
        </w:rPr>
        <w:t xml:space="preserve"> </w:t>
      </w:r>
      <w:r w:rsidRPr="00E44536">
        <w:rPr>
          <w:rFonts w:cs="Times New Roman"/>
          <w:b/>
          <w:sz w:val="20"/>
          <w:szCs w:val="20"/>
        </w:rPr>
        <w:t>Concorrentes</w:t>
      </w:r>
      <w:r w:rsidRPr="00E44536">
        <w:rPr>
          <w:rFonts w:cs="Times New Roman"/>
          <w:sz w:val="20"/>
          <w:szCs w:val="20"/>
        </w:rPr>
        <w:t xml:space="preserve"> </w:t>
      </w:r>
      <w:r w:rsidRPr="00E44536">
        <w:rPr>
          <w:rFonts w:cs="Times New Roman"/>
          <w:b/>
          <w:sz w:val="20"/>
          <w:szCs w:val="20"/>
        </w:rPr>
        <w:t>diretos</w:t>
      </w:r>
      <w:r w:rsidRPr="00E44536">
        <w:rPr>
          <w:rFonts w:cs="Times New Roman"/>
          <w:sz w:val="20"/>
          <w:szCs w:val="20"/>
        </w:rPr>
        <w:t xml:space="preserve"> são concorrentes que operam no </w:t>
      </w:r>
      <w:r w:rsidRPr="00E44536">
        <w:rPr>
          <w:rFonts w:cs="Times New Roman"/>
          <w:b/>
          <w:sz w:val="20"/>
          <w:szCs w:val="20"/>
        </w:rPr>
        <w:t>mesmo modal</w:t>
      </w:r>
      <w:r w:rsidRPr="00E44536">
        <w:rPr>
          <w:rFonts w:cs="Times New Roman"/>
          <w:sz w:val="20"/>
          <w:szCs w:val="20"/>
        </w:rPr>
        <w:t xml:space="preserve">. Duas companhias de transporte rodoviário de carga a granel são concorrentes diretos. A concorrência entre empresas do mesmo modal também pode ser referida como </w:t>
      </w:r>
      <w:r w:rsidRPr="00E44536">
        <w:rPr>
          <w:rFonts w:cs="Times New Roman"/>
          <w:b/>
          <w:sz w:val="20"/>
          <w:szCs w:val="20"/>
        </w:rPr>
        <w:t>“concorrência interna”</w:t>
      </w:r>
      <w:r w:rsidRPr="00E44536">
        <w:rPr>
          <w:rFonts w:cs="Times New Roman"/>
          <w:sz w:val="20"/>
          <w:szCs w:val="20"/>
        </w:rPr>
        <w:t xml:space="preserve">. A concorrência indireta ou externa é aquela exercida por agentes que operam em modais alternativos. Assim, a despeito de não ser um concorrente direto (pois não opera “porta-a-porta”) o preço do transporte ferroviário e hidroviário impõe limites aos preços que os transportadores rodoviários podem praticar. </w:t>
      </w:r>
    </w:p>
  </w:footnote>
  <w:footnote w:id="2">
    <w:p w14:paraId="53B62846" w14:textId="77777777" w:rsidR="00E44536" w:rsidRPr="00E44536" w:rsidRDefault="00E44536" w:rsidP="00E44536">
      <w:pPr>
        <w:pStyle w:val="Textodenotaderodap"/>
        <w:rPr>
          <w:rFonts w:cs="Times New Roman"/>
          <w:sz w:val="20"/>
          <w:szCs w:val="20"/>
        </w:rPr>
      </w:pPr>
      <w:r w:rsidRPr="00E44536">
        <w:rPr>
          <w:rStyle w:val="Refdenotaderodap"/>
          <w:rFonts w:cs="Times New Roman"/>
          <w:sz w:val="20"/>
          <w:szCs w:val="20"/>
        </w:rPr>
        <w:footnoteRef/>
      </w:r>
      <w:r w:rsidRPr="00E44536">
        <w:rPr>
          <w:rFonts w:cs="Times New Roman"/>
          <w:sz w:val="20"/>
          <w:szCs w:val="20"/>
        </w:rPr>
        <w:t xml:space="preserve"> Pensamos o grau de concorrência como oposto ao “grau de monopólio”. Mais do que uma medida de barreira à entrada (onde o modal hidroviário tende a ser menor), trata-se de uma medida de mark-up sobre os custos diretos. O mark-up é definido não apenas pelas barreiras à </w:t>
      </w:r>
      <w:proofErr w:type="gramStart"/>
      <w:r w:rsidRPr="00E44536">
        <w:rPr>
          <w:rFonts w:cs="Times New Roman"/>
          <w:sz w:val="20"/>
          <w:szCs w:val="20"/>
        </w:rPr>
        <w:t>entrada</w:t>
      </w:r>
      <w:proofErr w:type="gramEnd"/>
      <w:r w:rsidRPr="00E44536">
        <w:rPr>
          <w:rFonts w:cs="Times New Roman"/>
          <w:sz w:val="20"/>
          <w:szCs w:val="20"/>
        </w:rPr>
        <w:t xml:space="preserve"> mas, igualmente bem, pelas barreiras à saída e peso relativo dos custos fixos. </w:t>
      </w:r>
    </w:p>
  </w:footnote>
  <w:footnote w:id="3">
    <w:p w14:paraId="0E33E079" w14:textId="77777777" w:rsidR="00E44536" w:rsidRPr="00E44536" w:rsidRDefault="00E44536" w:rsidP="00E44536">
      <w:pPr>
        <w:pStyle w:val="Textodenotaderodap"/>
        <w:rPr>
          <w:rFonts w:cs="Times New Roman"/>
          <w:sz w:val="20"/>
          <w:szCs w:val="20"/>
        </w:rPr>
      </w:pPr>
      <w:r w:rsidRPr="00E44536">
        <w:rPr>
          <w:rStyle w:val="Refdenotaderodap"/>
          <w:rFonts w:cs="Times New Roman"/>
          <w:sz w:val="20"/>
          <w:szCs w:val="20"/>
        </w:rPr>
        <w:footnoteRef/>
      </w:r>
      <w:r w:rsidRPr="00E44536">
        <w:rPr>
          <w:rFonts w:cs="Times New Roman"/>
          <w:sz w:val="20"/>
          <w:szCs w:val="20"/>
        </w:rPr>
        <w:t xml:space="preserve"> Na realidade, as companhias monitoram permanentemente o padrão de ocupação e suas alterações, com vistas a reservar algumas poltronas para serem adquiridas por “tarifa cheia” pelos usuários premidos pela urgência.</w:t>
      </w:r>
    </w:p>
  </w:footnote>
  <w:footnote w:id="4">
    <w:p w14:paraId="773729AA" w14:textId="77777777" w:rsidR="00E44536" w:rsidRPr="00E44536" w:rsidRDefault="00E44536" w:rsidP="00E44536">
      <w:pPr>
        <w:pStyle w:val="Textodenotaderodap"/>
        <w:rPr>
          <w:rFonts w:cs="Times New Roman"/>
          <w:sz w:val="20"/>
          <w:szCs w:val="20"/>
        </w:rPr>
      </w:pPr>
      <w:r w:rsidRPr="00E44536">
        <w:rPr>
          <w:rStyle w:val="Refdenotaderodap"/>
          <w:rFonts w:cs="Times New Roman"/>
          <w:sz w:val="20"/>
          <w:szCs w:val="20"/>
        </w:rPr>
        <w:footnoteRef/>
      </w:r>
      <w:r w:rsidRPr="00E44536">
        <w:rPr>
          <w:rFonts w:cs="Times New Roman"/>
          <w:sz w:val="20"/>
          <w:szCs w:val="20"/>
        </w:rPr>
        <w:t xml:space="preserve"> Não vamos tratar agora da formação de preços nos serviços aeroportuários. Todos os portos – sejam os do modal aéreo ou hidroviário (e mesmo os portos secos, associados aos transportes terrestres) – apresentam características de precificação muito similares. Como o modal hidroviário é aquele no qual os serviços portuários alcançam maior expressão, vamos enfrentar o tema da concorrência e formação de preços de serviços portuários quando tratarmos deste modal, na terceira </w:t>
      </w:r>
      <w:proofErr w:type="spellStart"/>
      <w:r w:rsidRPr="00E44536">
        <w:rPr>
          <w:rFonts w:cs="Times New Roman"/>
          <w:sz w:val="20"/>
          <w:szCs w:val="20"/>
        </w:rPr>
        <w:t>sub-seção</w:t>
      </w:r>
      <w:proofErr w:type="spellEnd"/>
      <w:r w:rsidRPr="00E44536">
        <w:rPr>
          <w:rFonts w:cs="Times New Roman"/>
          <w:sz w:val="20"/>
          <w:szCs w:val="20"/>
        </w:rPr>
        <w:t xml:space="preserve">. </w:t>
      </w:r>
    </w:p>
  </w:footnote>
  <w:footnote w:id="5">
    <w:p w14:paraId="1A46694E" w14:textId="77777777" w:rsidR="00E44536" w:rsidRPr="00E44536" w:rsidRDefault="00E44536" w:rsidP="00E44536">
      <w:pPr>
        <w:pStyle w:val="Textodenotaderodap"/>
        <w:rPr>
          <w:rFonts w:cs="Times New Roman"/>
          <w:sz w:val="20"/>
          <w:szCs w:val="20"/>
        </w:rPr>
      </w:pPr>
      <w:r w:rsidRPr="00E44536">
        <w:rPr>
          <w:rStyle w:val="Refdenotaderodap"/>
          <w:rFonts w:cs="Times New Roman"/>
          <w:sz w:val="20"/>
          <w:szCs w:val="20"/>
        </w:rPr>
        <w:footnoteRef/>
      </w:r>
      <w:r w:rsidRPr="00E44536">
        <w:rPr>
          <w:rFonts w:cs="Times New Roman"/>
          <w:sz w:val="20"/>
          <w:szCs w:val="20"/>
        </w:rPr>
        <w:t xml:space="preserve">  Formalmente, o Estado é o proprietário de toda a malha ferroviária nacional. Além disso, a firma efetivamente responsável pela construção da ferrovia pode ser contratada pelo futuro administrador e usufrutuário deste equipamento. Não obstante, a lógica do mercado tende a fundir estas quatro figuras - </w:t>
      </w:r>
      <w:r w:rsidRPr="00E44536">
        <w:rPr>
          <w:rFonts w:cs="Times New Roman"/>
          <w:b/>
          <w:sz w:val="20"/>
          <w:szCs w:val="20"/>
        </w:rPr>
        <w:t xml:space="preserve">proprietário, construtor, administrador do equipamento fixo e prestador dos serviços de transporte </w:t>
      </w:r>
      <w:r w:rsidRPr="00E44536">
        <w:rPr>
          <w:rFonts w:cs="Times New Roman"/>
          <w:sz w:val="20"/>
          <w:szCs w:val="20"/>
        </w:rPr>
        <w:t xml:space="preserve">– numa única empresa. Como regra virtualmente universal, a separação dos quatro agentes só emerge por regulação pública voltada a promover a concorrência e controlar os efeitos socialmente nocivos do “monopólio natural”. Como o marco regulatório do modal ferroviário ainda está em discussão no Brasil, optamos por denominar o agente que administra a linha férrea como </w:t>
      </w:r>
      <w:r w:rsidRPr="00E44536">
        <w:rPr>
          <w:rFonts w:cs="Times New Roman"/>
          <w:b/>
          <w:sz w:val="20"/>
          <w:szCs w:val="20"/>
          <w:u w:val="single"/>
        </w:rPr>
        <w:t>controlador</w:t>
      </w:r>
      <w:r w:rsidRPr="00E44536">
        <w:rPr>
          <w:rFonts w:cs="Times New Roman"/>
          <w:b/>
          <w:sz w:val="20"/>
          <w:szCs w:val="20"/>
        </w:rPr>
        <w:t>.</w:t>
      </w:r>
    </w:p>
  </w:footnote>
  <w:footnote w:id="6">
    <w:p w14:paraId="1A428345" w14:textId="77777777" w:rsidR="00E44536" w:rsidRPr="00E44536" w:rsidRDefault="00E44536" w:rsidP="00E44536">
      <w:pPr>
        <w:pStyle w:val="Textodenotaderodap"/>
        <w:rPr>
          <w:rFonts w:cs="Times New Roman"/>
          <w:sz w:val="20"/>
          <w:szCs w:val="20"/>
        </w:rPr>
      </w:pPr>
      <w:r w:rsidRPr="00E44536">
        <w:rPr>
          <w:rStyle w:val="Refdenotaderodap"/>
          <w:rFonts w:cs="Times New Roman"/>
          <w:sz w:val="20"/>
          <w:szCs w:val="20"/>
        </w:rPr>
        <w:footnoteRef/>
      </w:r>
      <w:r w:rsidRPr="00E44536">
        <w:rPr>
          <w:rFonts w:cs="Times New Roman"/>
          <w:sz w:val="20"/>
          <w:szCs w:val="20"/>
        </w:rPr>
        <w:t xml:space="preserve"> Neste caso, a situação seria equivalente </w:t>
      </w:r>
      <w:proofErr w:type="spellStart"/>
      <w:proofErr w:type="gramStart"/>
      <w:r w:rsidRPr="00E44536">
        <w:rPr>
          <w:rFonts w:cs="Times New Roman"/>
          <w:sz w:val="20"/>
          <w:szCs w:val="20"/>
        </w:rPr>
        <w:t>a</w:t>
      </w:r>
      <w:proofErr w:type="spellEnd"/>
      <w:proofErr w:type="gramEnd"/>
      <w:r w:rsidRPr="00E44536">
        <w:rPr>
          <w:rFonts w:cs="Times New Roman"/>
          <w:sz w:val="20"/>
          <w:szCs w:val="20"/>
        </w:rPr>
        <w:t xml:space="preserve"> de companhias aéreas concorrentes que atingem a plena ocupação dos assentos disponíveis vendendo todas as passagens com “tarifa cheia”. </w:t>
      </w:r>
    </w:p>
  </w:footnote>
  <w:footnote w:id="7">
    <w:p w14:paraId="04B2AECF" w14:textId="322B2E20" w:rsidR="00E44536" w:rsidRPr="00E44536" w:rsidRDefault="00E44536" w:rsidP="00E44536">
      <w:pPr>
        <w:pStyle w:val="Textodenotaderodap"/>
        <w:rPr>
          <w:rFonts w:cs="Times New Roman"/>
          <w:sz w:val="20"/>
          <w:szCs w:val="20"/>
        </w:rPr>
      </w:pPr>
      <w:r w:rsidRPr="00E44536">
        <w:rPr>
          <w:rStyle w:val="Refdenotaderodap"/>
          <w:rFonts w:cs="Times New Roman"/>
          <w:sz w:val="20"/>
          <w:szCs w:val="20"/>
        </w:rPr>
        <w:footnoteRef/>
      </w:r>
      <w:r w:rsidRPr="00E44536">
        <w:rPr>
          <w:rFonts w:cs="Times New Roman"/>
          <w:sz w:val="20"/>
          <w:szCs w:val="20"/>
        </w:rPr>
        <w:t xml:space="preserve"> A este respeito, veja-se o excelente trabalho de </w:t>
      </w:r>
      <w:proofErr w:type="spellStart"/>
      <w:r w:rsidRPr="00E44536">
        <w:rPr>
          <w:rFonts w:cs="Times New Roman"/>
          <w:sz w:val="20"/>
          <w:szCs w:val="20"/>
        </w:rPr>
        <w:t>Mariam</w:t>
      </w:r>
      <w:proofErr w:type="spellEnd"/>
      <w:r w:rsidRPr="00E44536">
        <w:rPr>
          <w:rFonts w:cs="Times New Roman"/>
          <w:sz w:val="20"/>
          <w:szCs w:val="20"/>
        </w:rPr>
        <w:t xml:space="preserve"> </w:t>
      </w:r>
      <w:proofErr w:type="spellStart"/>
      <w:r w:rsidRPr="00E44536">
        <w:rPr>
          <w:rFonts w:cs="Times New Roman"/>
          <w:sz w:val="20"/>
          <w:szCs w:val="20"/>
        </w:rPr>
        <w:t>Daychoun</w:t>
      </w:r>
      <w:proofErr w:type="spellEnd"/>
      <w:r w:rsidRPr="00E44536">
        <w:rPr>
          <w:rFonts w:cs="Times New Roman"/>
          <w:sz w:val="20"/>
          <w:szCs w:val="20"/>
        </w:rPr>
        <w:t xml:space="preserve"> (2014)</w:t>
      </w:r>
      <w:r w:rsidR="009A47A4">
        <w:rPr>
          <w:rFonts w:cs="Times New Roman"/>
          <w:sz w:val="20"/>
          <w:szCs w:val="20"/>
        </w:rPr>
        <w:t>.</w:t>
      </w:r>
      <w:r w:rsidRPr="00E44536">
        <w:rPr>
          <w:rFonts w:cs="Times New Roman"/>
          <w:sz w:val="20"/>
          <w:szCs w:val="20"/>
        </w:rPr>
        <w:t xml:space="preserve"> </w:t>
      </w:r>
    </w:p>
  </w:footnote>
  <w:footnote w:id="8">
    <w:p w14:paraId="55E8EC47" w14:textId="77777777" w:rsidR="00E44536" w:rsidRPr="00E44536" w:rsidRDefault="00E44536" w:rsidP="00E44536">
      <w:pPr>
        <w:pStyle w:val="Textodenotaderodap"/>
        <w:rPr>
          <w:rFonts w:cs="Times New Roman"/>
          <w:sz w:val="20"/>
          <w:szCs w:val="20"/>
        </w:rPr>
      </w:pPr>
      <w:r w:rsidRPr="00E44536">
        <w:rPr>
          <w:rStyle w:val="Refdenotaderodap"/>
          <w:rFonts w:cs="Times New Roman"/>
          <w:sz w:val="20"/>
          <w:szCs w:val="20"/>
        </w:rPr>
        <w:footnoteRef/>
      </w:r>
      <w:r w:rsidRPr="00E44536">
        <w:rPr>
          <w:rFonts w:cs="Times New Roman"/>
          <w:sz w:val="20"/>
          <w:szCs w:val="20"/>
        </w:rPr>
        <w:t xml:space="preserve"> Em 2012 e 2013 o governo federal propôs um novo marco regulatório para o setor ferroviário baseado no padrão alemão (</w:t>
      </w:r>
      <w:proofErr w:type="spellStart"/>
      <w:r w:rsidRPr="00E44536">
        <w:rPr>
          <w:rFonts w:cs="Times New Roman"/>
          <w:sz w:val="20"/>
          <w:szCs w:val="20"/>
        </w:rPr>
        <w:t>Daychoun</w:t>
      </w:r>
      <w:proofErr w:type="spellEnd"/>
      <w:r w:rsidRPr="00E44536">
        <w:rPr>
          <w:rFonts w:cs="Times New Roman"/>
          <w:sz w:val="20"/>
          <w:szCs w:val="20"/>
        </w:rPr>
        <w:t>, 2014). Mas os decretos-leis que instituíram o novo padrão competitivo foram questionados pelo Tribunal de Contas da União (</w:t>
      </w:r>
      <w:proofErr w:type="spellStart"/>
      <w:r w:rsidRPr="00E44536">
        <w:rPr>
          <w:rFonts w:cs="Times New Roman"/>
          <w:sz w:val="20"/>
          <w:szCs w:val="20"/>
        </w:rPr>
        <w:t>Rittner</w:t>
      </w:r>
      <w:proofErr w:type="spellEnd"/>
      <w:r w:rsidRPr="00E44536">
        <w:rPr>
          <w:rFonts w:cs="Times New Roman"/>
          <w:sz w:val="20"/>
          <w:szCs w:val="20"/>
        </w:rPr>
        <w:t xml:space="preserve">; e </w:t>
      </w:r>
      <w:proofErr w:type="spellStart"/>
      <w:r w:rsidRPr="00E44536">
        <w:rPr>
          <w:rFonts w:cs="Times New Roman"/>
          <w:sz w:val="20"/>
          <w:szCs w:val="20"/>
        </w:rPr>
        <w:t>Rittner</w:t>
      </w:r>
      <w:proofErr w:type="spellEnd"/>
      <w:r w:rsidRPr="00E44536">
        <w:rPr>
          <w:rFonts w:cs="Times New Roman"/>
          <w:sz w:val="20"/>
          <w:szCs w:val="20"/>
        </w:rPr>
        <w:t xml:space="preserve"> e Veloso; 2013). O mesmo TCU que desaprovou as contas da gestão fiscal federal de 2014 ao se deparar com os mesmos procedimentos contábeis de anos anteriores (as famosas “pedaladas”) que não haviam levado à “aprovação com ressalvas” das mesmas contas em exercícios pregressos. O desdobramento da instabilidade nos padrões de julgamento do TCU foi o processo de impeachment </w:t>
      </w:r>
      <w:proofErr w:type="spellStart"/>
      <w:r w:rsidRPr="00E44536">
        <w:rPr>
          <w:rFonts w:cs="Times New Roman"/>
          <w:sz w:val="20"/>
          <w:szCs w:val="20"/>
        </w:rPr>
        <w:t>da</w:t>
      </w:r>
      <w:proofErr w:type="spellEnd"/>
      <w:r w:rsidRPr="00E44536">
        <w:rPr>
          <w:rFonts w:cs="Times New Roman"/>
          <w:sz w:val="20"/>
          <w:szCs w:val="20"/>
        </w:rPr>
        <w:t xml:space="preserve"> Presidente Dilma Rousseff. Surpreendentemente, parcela expressiva das lideranças políticas e empresariais que apoiaram o processo de impeachment com base em regras e interpretações tão flexíveis criticam a instabilidade das regras institucionais e a falta de credibilidade nos contratos e padrões regulatórios instituídos com o poder público. </w:t>
      </w:r>
    </w:p>
  </w:footnote>
  <w:footnote w:id="9">
    <w:p w14:paraId="63BD38A8" w14:textId="77777777" w:rsidR="00E44536" w:rsidRPr="00E44536" w:rsidRDefault="00E44536" w:rsidP="00E44536">
      <w:pPr>
        <w:spacing w:line="240" w:lineRule="auto"/>
        <w:rPr>
          <w:rFonts w:ascii="Times New Roman" w:hAnsi="Times New Roman"/>
          <w:sz w:val="20"/>
          <w:szCs w:val="20"/>
        </w:rPr>
      </w:pPr>
      <w:r w:rsidRPr="00E44536">
        <w:rPr>
          <w:rStyle w:val="Refdenotaderodap"/>
          <w:rFonts w:ascii="Times New Roman" w:hAnsi="Times New Roman"/>
          <w:sz w:val="20"/>
          <w:szCs w:val="20"/>
        </w:rPr>
        <w:footnoteRef/>
      </w:r>
      <w:r w:rsidRPr="00E44536">
        <w:rPr>
          <w:rFonts w:ascii="Times New Roman" w:hAnsi="Times New Roman"/>
          <w:sz w:val="20"/>
          <w:szCs w:val="20"/>
        </w:rPr>
        <w:t xml:space="preserve"> Uma alternativa ao monopólio é o compromisso público de ressarcir integralmente o investimento com lucros pré-estabelecidos no longo prazo. Esta alternativa foi adotada com sucesso no Brasil ao longo do Segundo Império. Mas ela não parece mais aceitável para a maioria dos potenciais inversores dada a instabilidade político-institucional do Brasil republicano.</w:t>
      </w:r>
    </w:p>
    <w:p w14:paraId="6D336F34" w14:textId="77777777" w:rsidR="00E44536" w:rsidRPr="00E44536" w:rsidRDefault="00E44536" w:rsidP="00E44536">
      <w:pPr>
        <w:pStyle w:val="Textodenotaderodap"/>
        <w:rPr>
          <w:rFonts w:cs="Times New Roman"/>
          <w:sz w:val="20"/>
          <w:szCs w:val="20"/>
        </w:rPr>
      </w:pPr>
    </w:p>
  </w:footnote>
  <w:footnote w:id="10">
    <w:p w14:paraId="693E067D" w14:textId="77777777" w:rsidR="00E44536" w:rsidRPr="00E44536" w:rsidRDefault="00E44536" w:rsidP="00E44536">
      <w:pPr>
        <w:pStyle w:val="Textodenotaderodap"/>
        <w:rPr>
          <w:rFonts w:cs="Times New Roman"/>
          <w:sz w:val="20"/>
          <w:szCs w:val="20"/>
        </w:rPr>
      </w:pPr>
      <w:r w:rsidRPr="00E44536">
        <w:rPr>
          <w:rStyle w:val="Refdenotaderodap"/>
          <w:rFonts w:cs="Times New Roman"/>
          <w:sz w:val="20"/>
          <w:szCs w:val="20"/>
        </w:rPr>
        <w:footnoteRef/>
      </w:r>
      <w:r w:rsidRPr="00E44536">
        <w:rPr>
          <w:rFonts w:cs="Times New Roman"/>
          <w:sz w:val="20"/>
          <w:szCs w:val="20"/>
        </w:rPr>
        <w:t xml:space="preserve"> Dois exemplos: toda a hidrovia fluvial ou lacustre que solicita dragagem sistemática para ampliação do calado apresenta elementos de artificialidade; a navegação pela foz de rios caudalosos e de grande embocadura – como o Prata e o Amazonas – apresenta características de navegação fluvial e marítima.</w:t>
      </w:r>
    </w:p>
  </w:footnote>
  <w:footnote w:id="11">
    <w:p w14:paraId="0B8BD922" w14:textId="77777777" w:rsidR="00E44536" w:rsidRPr="00E44536" w:rsidRDefault="00E44536" w:rsidP="00E44536">
      <w:pPr>
        <w:pStyle w:val="Textodenotaderodap"/>
        <w:rPr>
          <w:rFonts w:cs="Times New Roman"/>
          <w:sz w:val="20"/>
          <w:szCs w:val="20"/>
        </w:rPr>
      </w:pPr>
      <w:r w:rsidRPr="00E44536">
        <w:rPr>
          <w:rStyle w:val="Refdenotaderodap"/>
          <w:rFonts w:cs="Times New Roman"/>
          <w:sz w:val="20"/>
          <w:szCs w:val="20"/>
        </w:rPr>
        <w:footnoteRef/>
      </w:r>
      <w:r w:rsidRPr="00E44536">
        <w:rPr>
          <w:rFonts w:cs="Times New Roman"/>
          <w:sz w:val="20"/>
          <w:szCs w:val="20"/>
        </w:rPr>
        <w:t xml:space="preserve"> Os canais construídos pelo homem são uma exceção: são monopólios naturais similares às ferrovias. Não obstante, como os canais são um mero elo (e um elo relativamente menor) do complexo sistema hidroviário, e como a concorrência é elevada nos demais elos, o exercício do monopólio não apresenta os mesmos desdobramentos do modal ferroviário, não havendo qualquer tendência ao usufruto exclusivo da via por parte dos seus controladores. Os dois canais artificiais mais relevantes (pelo seu impacto na redução das rotas oceânicas) e conhecidos do mundo são o Canal de Suez e o Canal do Panamá. O grande número e a grande diversidade de embarcações que os utilizam, contudo, impede que os controladores destes dois canais (como de tantos outros) sequer almejem monopolizar o transporte em seu curso, que envolveria custosas e antieconômicas operações de embarque e desembarque. Seus gestores restringem-se a cobrar uma taxa de pedágio pelo uso, que encontra seu limite superior nos custos de utilização das rotas alternativas (Cabos Horn e da Boa Esperança). </w:t>
      </w:r>
    </w:p>
  </w:footnote>
  <w:footnote w:id="12">
    <w:p w14:paraId="0F159A29" w14:textId="77777777" w:rsidR="00E44536" w:rsidRPr="00E44536" w:rsidRDefault="00E44536" w:rsidP="00E44536">
      <w:pPr>
        <w:pStyle w:val="Textodenotaderodap"/>
        <w:rPr>
          <w:rFonts w:cs="Times New Roman"/>
          <w:sz w:val="20"/>
          <w:szCs w:val="20"/>
        </w:rPr>
      </w:pPr>
      <w:r w:rsidRPr="00E44536">
        <w:rPr>
          <w:rStyle w:val="Refdenotaderodap"/>
          <w:rFonts w:cs="Times New Roman"/>
          <w:sz w:val="20"/>
          <w:szCs w:val="20"/>
        </w:rPr>
        <w:footnoteRef/>
      </w:r>
      <w:r w:rsidRPr="00E44536">
        <w:rPr>
          <w:rFonts w:cs="Times New Roman"/>
          <w:sz w:val="20"/>
          <w:szCs w:val="20"/>
        </w:rPr>
        <w:t xml:space="preserve"> A este respeito, veja-se Silveira Costa, 2004.</w:t>
      </w:r>
    </w:p>
  </w:footnote>
  <w:footnote w:id="13">
    <w:p w14:paraId="4AC7E232" w14:textId="77777777" w:rsidR="00E44536" w:rsidRPr="00E44536" w:rsidRDefault="00E44536" w:rsidP="00E44536">
      <w:pPr>
        <w:pStyle w:val="Textodenotaderodap"/>
        <w:rPr>
          <w:rFonts w:cs="Times New Roman"/>
          <w:sz w:val="20"/>
          <w:szCs w:val="20"/>
        </w:rPr>
      </w:pPr>
      <w:r w:rsidRPr="00E44536">
        <w:rPr>
          <w:rStyle w:val="Refdenotaderodap"/>
          <w:rFonts w:cs="Times New Roman"/>
          <w:sz w:val="20"/>
          <w:szCs w:val="20"/>
        </w:rPr>
        <w:footnoteRef/>
      </w:r>
      <w:r w:rsidRPr="00E44536">
        <w:rPr>
          <w:rFonts w:cs="Times New Roman"/>
          <w:sz w:val="20"/>
          <w:szCs w:val="20"/>
        </w:rPr>
        <w:t xml:space="preserve"> Vale notar que os três objetivos são solidários. Para limitar a concorrência entre usuários e garantir a rentabilidade de longo prazo do modal hidroviário (função 3, acima), o Estado circunscreve o número </w:t>
      </w:r>
      <w:proofErr w:type="gramStart"/>
      <w:r w:rsidRPr="00E44536">
        <w:rPr>
          <w:rFonts w:cs="Times New Roman"/>
          <w:sz w:val="20"/>
          <w:szCs w:val="20"/>
        </w:rPr>
        <w:t>de  portos</w:t>
      </w:r>
      <w:proofErr w:type="gramEnd"/>
      <w:r w:rsidRPr="00E44536">
        <w:rPr>
          <w:rFonts w:cs="Times New Roman"/>
          <w:sz w:val="20"/>
          <w:szCs w:val="20"/>
        </w:rPr>
        <w:t xml:space="preserve"> e de embarcações autorizados a operar, reduzindo os custos da função fiscalizatória (função 1) e deprimindo a pressões de mercado sobre os recursos fluviais (função 2).</w:t>
      </w:r>
    </w:p>
  </w:footnote>
  <w:footnote w:id="14">
    <w:p w14:paraId="713D870E" w14:textId="77777777" w:rsidR="00E44536" w:rsidRPr="00E44536" w:rsidRDefault="00E44536" w:rsidP="00E44536">
      <w:pPr>
        <w:pStyle w:val="Textodenotaderodap"/>
        <w:rPr>
          <w:rFonts w:cs="Times New Roman"/>
          <w:sz w:val="20"/>
          <w:szCs w:val="20"/>
        </w:rPr>
      </w:pPr>
      <w:r w:rsidRPr="00E44536">
        <w:rPr>
          <w:rStyle w:val="Refdenotaderodap"/>
          <w:rFonts w:cs="Times New Roman"/>
          <w:sz w:val="20"/>
          <w:szCs w:val="20"/>
        </w:rPr>
        <w:footnoteRef/>
      </w:r>
      <w:r w:rsidRPr="00E44536">
        <w:rPr>
          <w:rFonts w:cs="Times New Roman"/>
          <w:sz w:val="20"/>
          <w:szCs w:val="20"/>
        </w:rPr>
        <w:t xml:space="preserve"> Contemporaneamente (primeira metade de 2016), em função dos elevados juros internos, o pagamento da integralidade dos juros da dívida pública (sem qualquer amortização do principal) correspondem a pouco mais de 10% do PIB nacional. Como o setor público em conjunto arrecada pouco mais de 30% do PIB, seria necessário que o conjunto dos entes federados – Municípios, Estados e União - destinassem um terço de toda a arrecadação para pagar apenas o juro da dívida e estabilizar o seu crescimento. </w:t>
      </w:r>
    </w:p>
  </w:footnote>
  <w:footnote w:id="15">
    <w:p w14:paraId="60731DB1" w14:textId="77777777" w:rsidR="00E44536" w:rsidRPr="00E44536" w:rsidRDefault="00E44536" w:rsidP="00E44536">
      <w:pPr>
        <w:pStyle w:val="Textodenotaderodap"/>
        <w:rPr>
          <w:rFonts w:cs="Times New Roman"/>
          <w:sz w:val="20"/>
          <w:szCs w:val="20"/>
        </w:rPr>
      </w:pPr>
      <w:r w:rsidRPr="00E44536">
        <w:rPr>
          <w:rStyle w:val="Refdenotaderodap"/>
          <w:rFonts w:cs="Times New Roman"/>
          <w:sz w:val="20"/>
          <w:szCs w:val="20"/>
        </w:rPr>
        <w:footnoteRef/>
      </w:r>
      <w:r w:rsidRPr="00E44536">
        <w:rPr>
          <w:rFonts w:cs="Times New Roman"/>
          <w:sz w:val="20"/>
          <w:szCs w:val="20"/>
        </w:rPr>
        <w:t xml:space="preserve"> Como a rodovia Anchieta entre Campinas e Santos veio a ser “contestada” pela Bandeirantes no eixo Campinas-São Paulo e a Imigrantes no eixo São Paulo-Santos. </w:t>
      </w:r>
    </w:p>
  </w:footnote>
  <w:footnote w:id="16">
    <w:p w14:paraId="3B470803" w14:textId="77777777" w:rsidR="00E44536" w:rsidRPr="00E44536" w:rsidRDefault="00E44536" w:rsidP="00E44536">
      <w:pPr>
        <w:pStyle w:val="Textodenotaderodap"/>
        <w:rPr>
          <w:rFonts w:cs="Times New Roman"/>
          <w:sz w:val="20"/>
          <w:szCs w:val="20"/>
        </w:rPr>
      </w:pPr>
      <w:r w:rsidRPr="00E44536">
        <w:rPr>
          <w:rStyle w:val="Refdenotaderodap"/>
          <w:rFonts w:cs="Times New Roman"/>
          <w:sz w:val="20"/>
          <w:szCs w:val="20"/>
        </w:rPr>
        <w:footnoteRef/>
      </w:r>
      <w:r w:rsidRPr="00E44536">
        <w:rPr>
          <w:rFonts w:cs="Times New Roman"/>
          <w:sz w:val="20"/>
          <w:szCs w:val="20"/>
        </w:rPr>
        <w:t xml:space="preserve"> Isto ocorre quando a concessionária contrata empresas-irmãs (controladas pela mesma holding) para prestar serviços de manutenção, gestão e consultoria. Neste caso, as prestadoras ficam liberadas para ampliar seus preços, e a “inflação” com a qual a concessionária se depara é maior do que a inflação média do mercado. </w:t>
      </w:r>
    </w:p>
  </w:footnote>
  <w:footnote w:id="17">
    <w:p w14:paraId="2F0B2678" w14:textId="77777777" w:rsidR="00E44536" w:rsidRPr="00E44536" w:rsidRDefault="00E44536" w:rsidP="00E44536">
      <w:pPr>
        <w:pStyle w:val="Textodenotaderodap"/>
        <w:rPr>
          <w:rFonts w:cs="Times New Roman"/>
          <w:sz w:val="20"/>
          <w:szCs w:val="20"/>
        </w:rPr>
      </w:pPr>
      <w:r w:rsidRPr="00E44536">
        <w:rPr>
          <w:rStyle w:val="Refdenotaderodap"/>
          <w:rFonts w:cs="Times New Roman"/>
          <w:sz w:val="20"/>
          <w:szCs w:val="20"/>
        </w:rPr>
        <w:footnoteRef/>
      </w:r>
      <w:r w:rsidRPr="00E44536">
        <w:rPr>
          <w:rFonts w:cs="Times New Roman"/>
          <w:sz w:val="20"/>
          <w:szCs w:val="20"/>
        </w:rPr>
        <w:t xml:space="preserve"> As commodities agrícolas e minerais têm seus preços definidos no mercado internacional. Os diferenciais de custo de transporte são transferidos para o produtor. Distâncias maiores e custos de </w:t>
      </w:r>
      <w:proofErr w:type="spellStart"/>
      <w:r w:rsidRPr="00E44536">
        <w:rPr>
          <w:rFonts w:cs="Times New Roman"/>
          <w:sz w:val="20"/>
          <w:szCs w:val="20"/>
        </w:rPr>
        <w:t>pedagiamento</w:t>
      </w:r>
      <w:proofErr w:type="spellEnd"/>
      <w:r w:rsidRPr="00E44536">
        <w:rPr>
          <w:rFonts w:cs="Times New Roman"/>
          <w:sz w:val="20"/>
          <w:szCs w:val="20"/>
        </w:rPr>
        <w:t xml:space="preserve"> menores tendem a se equilibrar. Não é gratuito que a resistência interna ao </w:t>
      </w:r>
      <w:proofErr w:type="spellStart"/>
      <w:r w:rsidRPr="00E44536">
        <w:rPr>
          <w:rFonts w:cs="Times New Roman"/>
          <w:sz w:val="20"/>
          <w:szCs w:val="20"/>
        </w:rPr>
        <w:t>pedagiamento</w:t>
      </w:r>
      <w:proofErr w:type="spellEnd"/>
      <w:r w:rsidRPr="00E44536">
        <w:rPr>
          <w:rFonts w:cs="Times New Roman"/>
          <w:sz w:val="20"/>
          <w:szCs w:val="20"/>
        </w:rPr>
        <w:t xml:space="preserve"> foi maior no Centro-Oeste, impondo o adiamento do novo padrão de administração rodoviária até que se alcançasse uma divisão de custos e benefícios mais equânime entre usuários e operadores logísticos. </w:t>
      </w:r>
    </w:p>
  </w:footnote>
  <w:footnote w:id="18">
    <w:p w14:paraId="59CF9917" w14:textId="77777777" w:rsidR="00E44536" w:rsidRPr="00B70650" w:rsidRDefault="00E44536" w:rsidP="00E44536">
      <w:pPr>
        <w:pStyle w:val="Textodenotaderodap"/>
        <w:rPr>
          <w:sz w:val="22"/>
          <w:szCs w:val="22"/>
        </w:rPr>
      </w:pPr>
      <w:r w:rsidRPr="00B70650">
        <w:rPr>
          <w:rStyle w:val="Refdenotaderodap"/>
          <w:sz w:val="22"/>
          <w:szCs w:val="22"/>
        </w:rPr>
        <w:footnoteRef/>
      </w:r>
      <w:r w:rsidRPr="00B70650">
        <w:rPr>
          <w:sz w:val="22"/>
          <w:szCs w:val="22"/>
        </w:rPr>
        <w:t xml:space="preserve"> </w:t>
      </w:r>
      <w:proofErr w:type="gramStart"/>
      <w:r>
        <w:rPr>
          <w:sz w:val="22"/>
          <w:szCs w:val="22"/>
        </w:rPr>
        <w:t>Todos os quadros apresentados a seguir tem</w:t>
      </w:r>
      <w:proofErr w:type="gramEnd"/>
      <w:r>
        <w:rPr>
          <w:sz w:val="22"/>
          <w:szCs w:val="22"/>
        </w:rPr>
        <w:t xml:space="preserve"> por fonte a Relação Anual de Indicadores Sociais (RAIS) do Ministério do Trabalho e Emprego do ano de 2016. 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01BBA" w14:textId="77777777" w:rsidR="00C76CD7" w:rsidRDefault="00A27756">
    <w:pPr>
      <w:pStyle w:val="Cabealho"/>
    </w:pPr>
    <w:r>
      <w:rPr>
        <w:noProof/>
        <w:lang w:val="en-US"/>
      </w:rPr>
      <w:pict w14:anchorId="03F91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79.6pt;height:819.7pt;z-index:-251658752;mso-wrap-edited:f;mso-position-horizontal:center;mso-position-horizontal-relative:margin;mso-position-vertical:center;mso-position-vertical-relative:margin" wrapcoords="-27 0 -27 21560 21600 21560 21600 0 -27 0">
          <v:imagedata r:id="rId1" o:title="Untitled-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0563011"/>
      <w:docPartObj>
        <w:docPartGallery w:val="Page Numbers (Top of Page)"/>
        <w:docPartUnique/>
      </w:docPartObj>
    </w:sdtPr>
    <w:sdtEndPr/>
    <w:sdtContent>
      <w:p w14:paraId="3E55A916" w14:textId="77777777" w:rsidR="00C76CD7" w:rsidRDefault="00C76CD7">
        <w:pPr>
          <w:pStyle w:val="Cabealho"/>
          <w:jc w:val="right"/>
        </w:pPr>
        <w:r w:rsidRPr="001E6978">
          <w:rPr>
            <w:rFonts w:ascii="Times New Roman" w:hAnsi="Times New Roman"/>
          </w:rPr>
          <w:fldChar w:fldCharType="begin"/>
        </w:r>
        <w:r w:rsidRPr="001E6978">
          <w:rPr>
            <w:rFonts w:ascii="Times New Roman" w:hAnsi="Times New Roman"/>
          </w:rPr>
          <w:instrText>PAGE   \* MERGEFORMAT</w:instrText>
        </w:r>
        <w:r w:rsidRPr="001E6978">
          <w:rPr>
            <w:rFonts w:ascii="Times New Roman" w:hAnsi="Times New Roman"/>
          </w:rPr>
          <w:fldChar w:fldCharType="separate"/>
        </w:r>
        <w:r w:rsidR="009A47A4">
          <w:rPr>
            <w:rFonts w:ascii="Times New Roman" w:hAnsi="Times New Roman"/>
            <w:noProof/>
          </w:rPr>
          <w:t>29</w:t>
        </w:r>
        <w:r w:rsidRPr="001E6978">
          <w:rPr>
            <w:rFonts w:ascii="Times New Roman" w:hAnsi="Times New Roman"/>
          </w:rPr>
          <w:fldChar w:fldCharType="end"/>
        </w:r>
      </w:p>
    </w:sdtContent>
  </w:sdt>
  <w:p w14:paraId="77448A9A" w14:textId="77777777" w:rsidR="00C76CD7" w:rsidRDefault="00C76CD7" w:rsidP="00CE3D09">
    <w:pPr>
      <w:pStyle w:val="Cabealho"/>
      <w:jc w:val="center"/>
      <w:rPr>
        <w:rFonts w:ascii="Arial" w:hAnsi="Arial" w:cs="Arial"/>
        <w:sz w:val="20"/>
        <w:szCs w:val="20"/>
      </w:rPr>
    </w:pPr>
    <w:r>
      <w:rPr>
        <w:rFonts w:ascii="Arial" w:hAnsi="Arial" w:cs="Arial"/>
        <w:noProof/>
        <w:sz w:val="20"/>
        <w:szCs w:val="20"/>
        <w:lang w:eastAsia="pt-BR"/>
      </w:rPr>
      <w:drawing>
        <wp:inline distT="0" distB="0" distL="0" distR="0" wp14:anchorId="06B68F6F" wp14:editId="24A94997">
          <wp:extent cx="4013200" cy="760954"/>
          <wp:effectExtent l="0" t="0" r="6350" b="127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0" cy="760954"/>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F8378" w14:textId="201A550E" w:rsidR="004C6666" w:rsidRDefault="004C6666">
    <w:pPr>
      <w:pStyle w:val="Cabealho"/>
    </w:pPr>
    <w:r>
      <w:rPr>
        <w:rFonts w:ascii="Arial" w:hAnsi="Arial" w:cs="Arial"/>
        <w:noProof/>
        <w:sz w:val="20"/>
        <w:szCs w:val="20"/>
        <w:lang w:eastAsia="pt-BR"/>
      </w:rPr>
      <w:drawing>
        <wp:inline distT="0" distB="0" distL="0" distR="0" wp14:anchorId="2D3DBAFA" wp14:editId="343AC7D6">
          <wp:extent cx="4013200" cy="760954"/>
          <wp:effectExtent l="0" t="0" r="6350" b="127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0" cy="76095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712B5"/>
    <w:multiLevelType w:val="hybridMultilevel"/>
    <w:tmpl w:val="C938F718"/>
    <w:lvl w:ilvl="0" w:tplc="25A2FA6C">
      <w:start w:val="1"/>
      <w:numFmt w:val="lowerLetter"/>
      <w:lvlText w:val="%1)"/>
      <w:lvlJc w:val="left"/>
      <w:pPr>
        <w:ind w:left="2220" w:hanging="620"/>
      </w:pPr>
      <w:rPr>
        <w:rFonts w:hint="default"/>
      </w:rPr>
    </w:lvl>
    <w:lvl w:ilvl="1" w:tplc="04090019" w:tentative="1">
      <w:start w:val="1"/>
      <w:numFmt w:val="lowerLetter"/>
      <w:lvlText w:val="%2."/>
      <w:lvlJc w:val="left"/>
      <w:pPr>
        <w:ind w:left="2680" w:hanging="360"/>
      </w:pPr>
    </w:lvl>
    <w:lvl w:ilvl="2" w:tplc="0409001B" w:tentative="1">
      <w:start w:val="1"/>
      <w:numFmt w:val="lowerRoman"/>
      <w:lvlText w:val="%3."/>
      <w:lvlJc w:val="right"/>
      <w:pPr>
        <w:ind w:left="3400" w:hanging="180"/>
      </w:pPr>
    </w:lvl>
    <w:lvl w:ilvl="3" w:tplc="0409000F" w:tentative="1">
      <w:start w:val="1"/>
      <w:numFmt w:val="decimal"/>
      <w:lvlText w:val="%4."/>
      <w:lvlJc w:val="left"/>
      <w:pPr>
        <w:ind w:left="4120" w:hanging="360"/>
      </w:pPr>
    </w:lvl>
    <w:lvl w:ilvl="4" w:tplc="04090019" w:tentative="1">
      <w:start w:val="1"/>
      <w:numFmt w:val="lowerLetter"/>
      <w:lvlText w:val="%5."/>
      <w:lvlJc w:val="left"/>
      <w:pPr>
        <w:ind w:left="4840" w:hanging="360"/>
      </w:pPr>
    </w:lvl>
    <w:lvl w:ilvl="5" w:tplc="0409001B" w:tentative="1">
      <w:start w:val="1"/>
      <w:numFmt w:val="lowerRoman"/>
      <w:lvlText w:val="%6."/>
      <w:lvlJc w:val="right"/>
      <w:pPr>
        <w:ind w:left="5560" w:hanging="180"/>
      </w:pPr>
    </w:lvl>
    <w:lvl w:ilvl="6" w:tplc="0409000F" w:tentative="1">
      <w:start w:val="1"/>
      <w:numFmt w:val="decimal"/>
      <w:lvlText w:val="%7."/>
      <w:lvlJc w:val="left"/>
      <w:pPr>
        <w:ind w:left="6280" w:hanging="360"/>
      </w:pPr>
    </w:lvl>
    <w:lvl w:ilvl="7" w:tplc="04090019" w:tentative="1">
      <w:start w:val="1"/>
      <w:numFmt w:val="lowerLetter"/>
      <w:lvlText w:val="%8."/>
      <w:lvlJc w:val="left"/>
      <w:pPr>
        <w:ind w:left="7000" w:hanging="360"/>
      </w:pPr>
    </w:lvl>
    <w:lvl w:ilvl="8" w:tplc="0409001B" w:tentative="1">
      <w:start w:val="1"/>
      <w:numFmt w:val="lowerRoman"/>
      <w:lvlText w:val="%9."/>
      <w:lvlJc w:val="right"/>
      <w:pPr>
        <w:ind w:left="7720" w:hanging="180"/>
      </w:pPr>
    </w:lvl>
  </w:abstractNum>
  <w:abstractNum w:abstractNumId="1" w15:restartNumberingAfterBreak="0">
    <w:nsid w:val="0B3226DE"/>
    <w:multiLevelType w:val="hybridMultilevel"/>
    <w:tmpl w:val="9320A43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23CC1239"/>
    <w:multiLevelType w:val="hybridMultilevel"/>
    <w:tmpl w:val="A0D457FE"/>
    <w:lvl w:ilvl="0" w:tplc="04160001">
      <w:start w:val="1"/>
      <w:numFmt w:val="bullet"/>
      <w:lvlText w:val=""/>
      <w:lvlJc w:val="left"/>
      <w:pPr>
        <w:ind w:left="5676" w:hanging="360"/>
      </w:pPr>
      <w:rPr>
        <w:rFonts w:ascii="Symbol" w:hAnsi="Symbol" w:hint="default"/>
      </w:rPr>
    </w:lvl>
    <w:lvl w:ilvl="1" w:tplc="04160003">
      <w:start w:val="1"/>
      <w:numFmt w:val="bullet"/>
      <w:lvlText w:val="o"/>
      <w:lvlJc w:val="left"/>
      <w:pPr>
        <w:ind w:left="6396" w:hanging="360"/>
      </w:pPr>
      <w:rPr>
        <w:rFonts w:ascii="Courier New" w:hAnsi="Courier New" w:cs="Courier New" w:hint="default"/>
      </w:rPr>
    </w:lvl>
    <w:lvl w:ilvl="2" w:tplc="04160005">
      <w:start w:val="1"/>
      <w:numFmt w:val="bullet"/>
      <w:lvlText w:val=""/>
      <w:lvlJc w:val="left"/>
      <w:pPr>
        <w:ind w:left="7116" w:hanging="360"/>
      </w:pPr>
      <w:rPr>
        <w:rFonts w:ascii="Wingdings" w:hAnsi="Wingdings" w:hint="default"/>
      </w:rPr>
    </w:lvl>
    <w:lvl w:ilvl="3" w:tplc="04160001" w:tentative="1">
      <w:start w:val="1"/>
      <w:numFmt w:val="bullet"/>
      <w:lvlText w:val=""/>
      <w:lvlJc w:val="left"/>
      <w:pPr>
        <w:ind w:left="7836" w:hanging="360"/>
      </w:pPr>
      <w:rPr>
        <w:rFonts w:ascii="Symbol" w:hAnsi="Symbol" w:hint="default"/>
      </w:rPr>
    </w:lvl>
    <w:lvl w:ilvl="4" w:tplc="04160003" w:tentative="1">
      <w:start w:val="1"/>
      <w:numFmt w:val="bullet"/>
      <w:lvlText w:val="o"/>
      <w:lvlJc w:val="left"/>
      <w:pPr>
        <w:ind w:left="8556" w:hanging="360"/>
      </w:pPr>
      <w:rPr>
        <w:rFonts w:ascii="Courier New" w:hAnsi="Courier New" w:cs="Courier New" w:hint="default"/>
      </w:rPr>
    </w:lvl>
    <w:lvl w:ilvl="5" w:tplc="04160005" w:tentative="1">
      <w:start w:val="1"/>
      <w:numFmt w:val="bullet"/>
      <w:lvlText w:val=""/>
      <w:lvlJc w:val="left"/>
      <w:pPr>
        <w:ind w:left="9276" w:hanging="360"/>
      </w:pPr>
      <w:rPr>
        <w:rFonts w:ascii="Wingdings" w:hAnsi="Wingdings" w:hint="default"/>
      </w:rPr>
    </w:lvl>
    <w:lvl w:ilvl="6" w:tplc="04160001" w:tentative="1">
      <w:start w:val="1"/>
      <w:numFmt w:val="bullet"/>
      <w:lvlText w:val=""/>
      <w:lvlJc w:val="left"/>
      <w:pPr>
        <w:ind w:left="9996" w:hanging="360"/>
      </w:pPr>
      <w:rPr>
        <w:rFonts w:ascii="Symbol" w:hAnsi="Symbol" w:hint="default"/>
      </w:rPr>
    </w:lvl>
    <w:lvl w:ilvl="7" w:tplc="04160003" w:tentative="1">
      <w:start w:val="1"/>
      <w:numFmt w:val="bullet"/>
      <w:lvlText w:val="o"/>
      <w:lvlJc w:val="left"/>
      <w:pPr>
        <w:ind w:left="10716" w:hanging="360"/>
      </w:pPr>
      <w:rPr>
        <w:rFonts w:ascii="Courier New" w:hAnsi="Courier New" w:cs="Courier New" w:hint="default"/>
      </w:rPr>
    </w:lvl>
    <w:lvl w:ilvl="8" w:tplc="04160005" w:tentative="1">
      <w:start w:val="1"/>
      <w:numFmt w:val="bullet"/>
      <w:lvlText w:val=""/>
      <w:lvlJc w:val="left"/>
      <w:pPr>
        <w:ind w:left="11436" w:hanging="360"/>
      </w:pPr>
      <w:rPr>
        <w:rFonts w:ascii="Wingdings" w:hAnsi="Wingdings" w:hint="default"/>
      </w:rPr>
    </w:lvl>
  </w:abstractNum>
  <w:abstractNum w:abstractNumId="3" w15:restartNumberingAfterBreak="0">
    <w:nsid w:val="2DFD05B5"/>
    <w:multiLevelType w:val="hybridMultilevel"/>
    <w:tmpl w:val="2C2E3732"/>
    <w:lvl w:ilvl="0" w:tplc="685647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2DA3D6C"/>
    <w:multiLevelType w:val="multilevel"/>
    <w:tmpl w:val="1D54985E"/>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5D55E5C"/>
    <w:multiLevelType w:val="hybridMultilevel"/>
    <w:tmpl w:val="E91EB9C2"/>
    <w:lvl w:ilvl="0" w:tplc="61461A4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4971AB"/>
    <w:multiLevelType w:val="multilevel"/>
    <w:tmpl w:val="3E6C48E6"/>
    <w:lvl w:ilvl="0">
      <w:start w:val="1"/>
      <w:numFmt w:val="decimal"/>
      <w:lvlText w:val="%1."/>
      <w:lvlJc w:val="left"/>
      <w:pPr>
        <w:ind w:left="820" w:hanging="820"/>
      </w:pPr>
      <w:rPr>
        <w:rFonts w:hint="default"/>
      </w:rPr>
    </w:lvl>
    <w:lvl w:ilvl="1">
      <w:start w:val="1"/>
      <w:numFmt w:val="lowerLetter"/>
      <w:lvlText w:val="%2)"/>
      <w:lvlJc w:val="left"/>
      <w:pPr>
        <w:ind w:left="1180" w:hanging="820"/>
      </w:pPr>
      <w:rPr>
        <w:rFonts w:ascii="Times New Roman" w:eastAsiaTheme="minorEastAsia" w:hAnsi="Times New Roman" w:cstheme="minorBidi"/>
      </w:rPr>
    </w:lvl>
    <w:lvl w:ilvl="2">
      <w:start w:val="1"/>
      <w:numFmt w:val="decimal"/>
      <w:lvlText w:val="%1.%2.%3."/>
      <w:lvlJc w:val="left"/>
      <w:pPr>
        <w:ind w:left="1540" w:hanging="820"/>
      </w:pPr>
      <w:rPr>
        <w:rFonts w:hint="default"/>
      </w:rPr>
    </w:lvl>
    <w:lvl w:ilvl="3">
      <w:start w:val="1"/>
      <w:numFmt w:val="decimal"/>
      <w:lvlText w:val="%1.%2.%3.%4."/>
      <w:lvlJc w:val="left"/>
      <w:pPr>
        <w:ind w:left="1900" w:hanging="8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78A820B2"/>
    <w:multiLevelType w:val="hybridMultilevel"/>
    <w:tmpl w:val="5106D264"/>
    <w:lvl w:ilvl="0" w:tplc="E30A91A4">
      <w:start w:val="1"/>
      <w:numFmt w:val="lowerLetter"/>
      <w:lvlText w:val="%1)"/>
      <w:lvlJc w:val="left"/>
      <w:pPr>
        <w:ind w:left="1040" w:hanging="680"/>
      </w:pPr>
      <w:rPr>
        <w:rFonts w:ascii="Times New Roman" w:eastAsiaTheme="minorEastAsia"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6"/>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3A8"/>
    <w:rsid w:val="00006C03"/>
    <w:rsid w:val="000A53A8"/>
    <w:rsid w:val="000B30E4"/>
    <w:rsid w:val="00127094"/>
    <w:rsid w:val="001B63B3"/>
    <w:rsid w:val="002075A2"/>
    <w:rsid w:val="00331453"/>
    <w:rsid w:val="00477B1C"/>
    <w:rsid w:val="004B602F"/>
    <w:rsid w:val="004C6666"/>
    <w:rsid w:val="00502BE9"/>
    <w:rsid w:val="005E4A17"/>
    <w:rsid w:val="005F2098"/>
    <w:rsid w:val="007073A4"/>
    <w:rsid w:val="007D2E39"/>
    <w:rsid w:val="007E542F"/>
    <w:rsid w:val="007E5ED5"/>
    <w:rsid w:val="008121A2"/>
    <w:rsid w:val="00875551"/>
    <w:rsid w:val="008A79BB"/>
    <w:rsid w:val="009305D2"/>
    <w:rsid w:val="009937AE"/>
    <w:rsid w:val="009A47A4"/>
    <w:rsid w:val="00A27756"/>
    <w:rsid w:val="00AA3D7C"/>
    <w:rsid w:val="00AC49D8"/>
    <w:rsid w:val="00B24B9A"/>
    <w:rsid w:val="00B92117"/>
    <w:rsid w:val="00B94DF4"/>
    <w:rsid w:val="00BB17BD"/>
    <w:rsid w:val="00BE1BCF"/>
    <w:rsid w:val="00C41A3D"/>
    <w:rsid w:val="00C55E3F"/>
    <w:rsid w:val="00C6052E"/>
    <w:rsid w:val="00C76CD7"/>
    <w:rsid w:val="00CE3D09"/>
    <w:rsid w:val="00CF021D"/>
    <w:rsid w:val="00E056DA"/>
    <w:rsid w:val="00E44536"/>
    <w:rsid w:val="00E54D26"/>
    <w:rsid w:val="00FC793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15466AE"/>
  <w15:docId w15:val="{25FF5405-26D1-4D32-AA46-AA73B048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3A8"/>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C76CD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A53A8"/>
    <w:pPr>
      <w:tabs>
        <w:tab w:val="center" w:pos="4320"/>
        <w:tab w:val="right" w:pos="8640"/>
      </w:tabs>
      <w:spacing w:after="0" w:line="240" w:lineRule="auto"/>
    </w:pPr>
    <w:rPr>
      <w:rFonts w:ascii="Cambria" w:eastAsia="MS Mincho" w:hAnsi="Cambria"/>
      <w:sz w:val="24"/>
      <w:szCs w:val="24"/>
    </w:rPr>
  </w:style>
  <w:style w:type="character" w:customStyle="1" w:styleId="CabealhoChar">
    <w:name w:val="Cabeçalho Char"/>
    <w:basedOn w:val="Fontepargpadro"/>
    <w:link w:val="Cabealho"/>
    <w:uiPriority w:val="99"/>
    <w:rsid w:val="000A53A8"/>
    <w:rPr>
      <w:rFonts w:ascii="Cambria" w:eastAsia="MS Mincho" w:hAnsi="Cambria" w:cs="Times New Roman"/>
      <w:sz w:val="24"/>
      <w:szCs w:val="24"/>
    </w:rPr>
  </w:style>
  <w:style w:type="paragraph" w:styleId="Rodap">
    <w:name w:val="footer"/>
    <w:basedOn w:val="Normal"/>
    <w:link w:val="RodapChar"/>
    <w:uiPriority w:val="99"/>
    <w:unhideWhenUsed/>
    <w:rsid w:val="000A53A8"/>
    <w:pPr>
      <w:tabs>
        <w:tab w:val="center" w:pos="4320"/>
        <w:tab w:val="right" w:pos="8640"/>
      </w:tabs>
      <w:spacing w:after="0" w:line="240" w:lineRule="auto"/>
    </w:pPr>
    <w:rPr>
      <w:rFonts w:ascii="Cambria" w:eastAsia="MS Mincho" w:hAnsi="Cambria"/>
      <w:sz w:val="24"/>
      <w:szCs w:val="24"/>
    </w:rPr>
  </w:style>
  <w:style w:type="character" w:customStyle="1" w:styleId="RodapChar">
    <w:name w:val="Rodapé Char"/>
    <w:basedOn w:val="Fontepargpadro"/>
    <w:link w:val="Rodap"/>
    <w:uiPriority w:val="99"/>
    <w:rsid w:val="000A53A8"/>
    <w:rPr>
      <w:rFonts w:ascii="Cambria" w:eastAsia="MS Mincho" w:hAnsi="Cambria" w:cs="Times New Roman"/>
      <w:sz w:val="24"/>
      <w:szCs w:val="24"/>
    </w:rPr>
  </w:style>
  <w:style w:type="character" w:styleId="Hyperlink">
    <w:name w:val="Hyperlink"/>
    <w:uiPriority w:val="99"/>
    <w:unhideWhenUsed/>
    <w:rsid w:val="000A53A8"/>
    <w:rPr>
      <w:color w:val="0000FF"/>
      <w:u w:val="single"/>
    </w:rPr>
  </w:style>
  <w:style w:type="paragraph" w:styleId="PargrafodaLista">
    <w:name w:val="List Paragraph"/>
    <w:basedOn w:val="Normal"/>
    <w:uiPriority w:val="34"/>
    <w:qFormat/>
    <w:rsid w:val="000A53A8"/>
    <w:pPr>
      <w:ind w:left="720"/>
      <w:contextualSpacing/>
    </w:pPr>
  </w:style>
  <w:style w:type="character" w:styleId="Nmerodepgina">
    <w:name w:val="page number"/>
    <w:basedOn w:val="Fontepargpadro"/>
    <w:uiPriority w:val="99"/>
    <w:semiHidden/>
    <w:unhideWhenUsed/>
    <w:rsid w:val="000A53A8"/>
  </w:style>
  <w:style w:type="paragraph" w:styleId="Textodebalo">
    <w:name w:val="Balloon Text"/>
    <w:basedOn w:val="Normal"/>
    <w:link w:val="TextodebaloChar"/>
    <w:uiPriority w:val="99"/>
    <w:semiHidden/>
    <w:unhideWhenUsed/>
    <w:rsid w:val="00CE3D09"/>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CE3D09"/>
    <w:rPr>
      <w:rFonts w:ascii="Lucida Grande" w:eastAsia="Calibri" w:hAnsi="Lucida Grande" w:cs="Lucida Grande"/>
      <w:sz w:val="18"/>
      <w:szCs w:val="18"/>
    </w:rPr>
  </w:style>
  <w:style w:type="character" w:customStyle="1" w:styleId="Ttulo1Char">
    <w:name w:val="Título 1 Char"/>
    <w:basedOn w:val="Fontepargpadro"/>
    <w:link w:val="Ttulo1"/>
    <w:uiPriority w:val="9"/>
    <w:rsid w:val="00C76CD7"/>
    <w:rPr>
      <w:rFonts w:asciiTheme="majorHAnsi" w:eastAsiaTheme="majorEastAsia" w:hAnsiTheme="majorHAnsi" w:cstheme="majorBidi"/>
      <w:b/>
      <w:bCs/>
      <w:color w:val="2E74B5" w:themeColor="accent1" w:themeShade="BF"/>
      <w:sz w:val="28"/>
      <w:szCs w:val="28"/>
    </w:rPr>
  </w:style>
  <w:style w:type="character" w:styleId="Refdecomentrio">
    <w:name w:val="annotation reference"/>
    <w:basedOn w:val="Fontepargpadro"/>
    <w:uiPriority w:val="99"/>
    <w:semiHidden/>
    <w:unhideWhenUsed/>
    <w:rsid w:val="00E056DA"/>
    <w:rPr>
      <w:sz w:val="16"/>
      <w:szCs w:val="16"/>
    </w:rPr>
  </w:style>
  <w:style w:type="paragraph" w:styleId="Textodecomentrio">
    <w:name w:val="annotation text"/>
    <w:basedOn w:val="Normal"/>
    <w:link w:val="TextodecomentrioChar"/>
    <w:uiPriority w:val="99"/>
    <w:semiHidden/>
    <w:unhideWhenUsed/>
    <w:rsid w:val="00E056D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056DA"/>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E056DA"/>
    <w:rPr>
      <w:b/>
      <w:bCs/>
    </w:rPr>
  </w:style>
  <w:style w:type="character" w:customStyle="1" w:styleId="AssuntodocomentrioChar">
    <w:name w:val="Assunto do comentário Char"/>
    <w:basedOn w:val="TextodecomentrioChar"/>
    <w:link w:val="Assuntodocomentrio"/>
    <w:uiPriority w:val="99"/>
    <w:semiHidden/>
    <w:rsid w:val="00E056DA"/>
    <w:rPr>
      <w:rFonts w:ascii="Calibri" w:eastAsia="Calibri" w:hAnsi="Calibri" w:cs="Times New Roman"/>
      <w:b/>
      <w:bCs/>
      <w:sz w:val="20"/>
      <w:szCs w:val="20"/>
    </w:rPr>
  </w:style>
  <w:style w:type="paragraph" w:styleId="Textodenotaderodap">
    <w:name w:val="footnote text"/>
    <w:basedOn w:val="Normal"/>
    <w:link w:val="TextodenotaderodapChar"/>
    <w:uiPriority w:val="99"/>
    <w:unhideWhenUsed/>
    <w:rsid w:val="00E44536"/>
    <w:pPr>
      <w:spacing w:after="0" w:line="240" w:lineRule="auto"/>
      <w:jc w:val="both"/>
    </w:pPr>
    <w:rPr>
      <w:rFonts w:ascii="Times New Roman" w:eastAsiaTheme="minorEastAsia" w:hAnsi="Times New Roman" w:cstheme="minorBidi"/>
      <w:sz w:val="24"/>
      <w:szCs w:val="24"/>
    </w:rPr>
  </w:style>
  <w:style w:type="character" w:customStyle="1" w:styleId="TextodenotaderodapChar">
    <w:name w:val="Texto de nota de rodapé Char"/>
    <w:basedOn w:val="Fontepargpadro"/>
    <w:link w:val="Textodenotaderodap"/>
    <w:uiPriority w:val="99"/>
    <w:rsid w:val="00E44536"/>
    <w:rPr>
      <w:rFonts w:ascii="Times New Roman" w:eastAsiaTheme="minorEastAsia" w:hAnsi="Times New Roman"/>
      <w:sz w:val="24"/>
      <w:szCs w:val="24"/>
    </w:rPr>
  </w:style>
  <w:style w:type="character" w:styleId="Refdenotaderodap">
    <w:name w:val="footnote reference"/>
    <w:basedOn w:val="Fontepargpadro"/>
    <w:uiPriority w:val="99"/>
    <w:unhideWhenUsed/>
    <w:rsid w:val="00E445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3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bi.mte.gov.br/bgcaged/login.php"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paradoxoconsultoria.com.b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paradoxoconsultoria.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29</Pages>
  <Words>8420</Words>
  <Characters>45469</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Sala</dc:creator>
  <cp:keywords/>
  <dc:description/>
  <cp:lastModifiedBy>Allan Sala</cp:lastModifiedBy>
  <cp:revision>4</cp:revision>
  <dcterms:created xsi:type="dcterms:W3CDTF">2018-07-10T19:36:00Z</dcterms:created>
  <dcterms:modified xsi:type="dcterms:W3CDTF">2018-07-11T18:56:00Z</dcterms:modified>
</cp:coreProperties>
</file>