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B96A6" w14:textId="77777777" w:rsidR="00A11BCF" w:rsidRDefault="00A11BCF">
      <w:pPr>
        <w:spacing w:after="0" w:line="240" w:lineRule="auto"/>
        <w:jc w:val="left"/>
      </w:pPr>
    </w:p>
    <w:p w14:paraId="11FBED19" w14:textId="77777777" w:rsidR="00A11BCF" w:rsidRDefault="00A11BCF">
      <w:pPr>
        <w:spacing w:after="0" w:line="240" w:lineRule="auto"/>
        <w:jc w:val="left"/>
      </w:pPr>
    </w:p>
    <w:p w14:paraId="52B0A8E5" w14:textId="77777777" w:rsidR="00A11BCF" w:rsidRDefault="00A11BCF">
      <w:pPr>
        <w:spacing w:after="0" w:line="240" w:lineRule="auto"/>
        <w:jc w:val="left"/>
      </w:pPr>
    </w:p>
    <w:p w14:paraId="2BF84F76" w14:textId="77777777" w:rsidR="00A11BCF" w:rsidRDefault="00A11BCF">
      <w:pPr>
        <w:spacing w:after="0" w:line="240" w:lineRule="auto"/>
        <w:jc w:val="left"/>
      </w:pPr>
    </w:p>
    <w:p w14:paraId="14028F23" w14:textId="77777777" w:rsidR="00A11BCF" w:rsidRDefault="00A11BCF">
      <w:pPr>
        <w:spacing w:after="0" w:line="240" w:lineRule="auto"/>
        <w:jc w:val="left"/>
      </w:pPr>
    </w:p>
    <w:p w14:paraId="5F037010" w14:textId="77777777" w:rsidR="00E00ED6" w:rsidRDefault="00E00ED6" w:rsidP="00A11BCF">
      <w:pPr>
        <w:spacing w:after="0" w:line="240" w:lineRule="auto"/>
        <w:jc w:val="center"/>
        <w:rPr>
          <w:sz w:val="52"/>
          <w:szCs w:val="52"/>
        </w:rPr>
      </w:pPr>
    </w:p>
    <w:p w14:paraId="21EF1172" w14:textId="77777777" w:rsidR="00E00ED6" w:rsidRDefault="00E00ED6" w:rsidP="00A11BCF">
      <w:pPr>
        <w:spacing w:after="0" w:line="240" w:lineRule="auto"/>
        <w:jc w:val="center"/>
        <w:rPr>
          <w:sz w:val="52"/>
          <w:szCs w:val="52"/>
        </w:rPr>
      </w:pPr>
    </w:p>
    <w:p w14:paraId="6B7D1103" w14:textId="77777777" w:rsidR="00E00ED6" w:rsidRDefault="00E00ED6" w:rsidP="00A11BCF">
      <w:pPr>
        <w:spacing w:after="0" w:line="240" w:lineRule="auto"/>
        <w:jc w:val="center"/>
        <w:rPr>
          <w:sz w:val="52"/>
          <w:szCs w:val="52"/>
        </w:rPr>
      </w:pPr>
    </w:p>
    <w:p w14:paraId="1638556B" w14:textId="50BCE91A" w:rsidR="00E00ED6" w:rsidRDefault="00A11BCF" w:rsidP="00E00ED6">
      <w:pPr>
        <w:jc w:val="center"/>
        <w:rPr>
          <w:sz w:val="52"/>
          <w:szCs w:val="52"/>
        </w:rPr>
      </w:pPr>
      <w:r w:rsidRPr="00A11BCF">
        <w:rPr>
          <w:sz w:val="52"/>
          <w:szCs w:val="52"/>
        </w:rPr>
        <w:t xml:space="preserve">Projeto </w:t>
      </w:r>
      <w:r>
        <w:rPr>
          <w:sz w:val="52"/>
          <w:szCs w:val="52"/>
        </w:rPr>
        <w:t>de Identificação da Região de</w:t>
      </w:r>
    </w:p>
    <w:p w14:paraId="22CC29D1" w14:textId="303E2BAD" w:rsidR="00E00ED6" w:rsidRDefault="00A11BCF" w:rsidP="00E00ED6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Influência </w:t>
      </w:r>
      <w:r w:rsidR="00E00ED6">
        <w:rPr>
          <w:sz w:val="52"/>
          <w:szCs w:val="52"/>
        </w:rPr>
        <w:t>e Solidariedade Econômica</w:t>
      </w:r>
    </w:p>
    <w:p w14:paraId="2AD2F044" w14:textId="3DD9BDE1" w:rsidR="00E00ED6" w:rsidRDefault="00E00ED6" w:rsidP="00E00ED6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</w:t>
      </w:r>
      <w:r w:rsidR="00A11BCF">
        <w:rPr>
          <w:sz w:val="52"/>
          <w:szCs w:val="52"/>
        </w:rPr>
        <w:t xml:space="preserve">de </w:t>
      </w:r>
      <w:r w:rsidR="00A11BCF" w:rsidRPr="00A11BCF">
        <w:rPr>
          <w:sz w:val="52"/>
          <w:szCs w:val="52"/>
        </w:rPr>
        <w:t>Maringá</w:t>
      </w:r>
      <w:r w:rsidR="00A11BCF">
        <w:rPr>
          <w:sz w:val="52"/>
          <w:szCs w:val="52"/>
        </w:rPr>
        <w:t xml:space="preserve"> </w:t>
      </w:r>
      <w:r>
        <w:rPr>
          <w:sz w:val="52"/>
          <w:szCs w:val="52"/>
        </w:rPr>
        <w:t>–</w:t>
      </w:r>
      <w:r w:rsidR="00A11BCF">
        <w:rPr>
          <w:sz w:val="52"/>
          <w:szCs w:val="52"/>
        </w:rPr>
        <w:t xml:space="preserve"> PR</w:t>
      </w:r>
    </w:p>
    <w:p w14:paraId="65563076" w14:textId="77777777" w:rsidR="00E00ED6" w:rsidRDefault="00E00ED6" w:rsidP="00E00ED6">
      <w:pPr>
        <w:jc w:val="center"/>
        <w:rPr>
          <w:sz w:val="52"/>
          <w:szCs w:val="52"/>
        </w:rPr>
      </w:pPr>
    </w:p>
    <w:p w14:paraId="296EFFE4" w14:textId="77777777" w:rsidR="00E00ED6" w:rsidRPr="00E00ED6" w:rsidRDefault="00E00ED6" w:rsidP="00E00ED6">
      <w:pPr>
        <w:jc w:val="center"/>
        <w:rPr>
          <w:sz w:val="40"/>
          <w:szCs w:val="40"/>
        </w:rPr>
      </w:pPr>
      <w:r w:rsidRPr="00E00ED6">
        <w:rPr>
          <w:sz w:val="40"/>
          <w:szCs w:val="40"/>
        </w:rPr>
        <w:t>Junho de 2019</w:t>
      </w:r>
    </w:p>
    <w:p w14:paraId="597EBA58" w14:textId="77777777" w:rsidR="00E00ED6" w:rsidRDefault="00E00ED6" w:rsidP="00E00ED6">
      <w:pPr>
        <w:jc w:val="center"/>
        <w:rPr>
          <w:sz w:val="52"/>
          <w:szCs w:val="52"/>
        </w:rPr>
      </w:pPr>
    </w:p>
    <w:p w14:paraId="413FFFD7" w14:textId="6DBFAD0A" w:rsidR="00D053E4" w:rsidRPr="00E00ED6" w:rsidRDefault="00D053E4" w:rsidP="00E00ED6">
      <w:pPr>
        <w:jc w:val="center"/>
        <w:rPr>
          <w:sz w:val="48"/>
          <w:szCs w:val="48"/>
        </w:rPr>
      </w:pPr>
      <w:r w:rsidRPr="00E00ED6">
        <w:rPr>
          <w:sz w:val="48"/>
          <w:szCs w:val="48"/>
        </w:rPr>
        <w:br w:type="page"/>
      </w:r>
    </w:p>
    <w:sdt>
      <w:sdtPr>
        <w:rPr>
          <w:rFonts w:ascii="Times New Roman" w:eastAsiaTheme="minorEastAsia" w:hAnsi="Times New Roman" w:cstheme="minorBidi"/>
          <w:color w:val="auto"/>
          <w:sz w:val="24"/>
          <w:szCs w:val="24"/>
          <w:lang w:eastAsia="en-US"/>
        </w:rPr>
        <w:id w:val="13307977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12FFD2" w14:textId="7AD843D3" w:rsidR="00A11BCF" w:rsidRDefault="00A11BCF" w:rsidP="00E00ED6">
          <w:pPr>
            <w:pStyle w:val="CabealhodoSumrio"/>
            <w:spacing w:after="240" w:line="360" w:lineRule="auto"/>
          </w:pPr>
          <w:r w:rsidRPr="00A11BCF">
            <w:rPr>
              <w:rFonts w:ascii="Times New Roman" w:hAnsi="Times New Roman" w:cs="Times New Roman"/>
              <w:color w:val="auto"/>
              <w:sz w:val="36"/>
              <w:szCs w:val="36"/>
            </w:rPr>
            <w:t>Sumário</w:t>
          </w:r>
          <w:r>
            <w:rPr>
              <w:rFonts w:ascii="Times New Roman" w:hAnsi="Times New Roman" w:cs="Times New Roman"/>
              <w:color w:val="auto"/>
              <w:sz w:val="36"/>
              <w:szCs w:val="36"/>
            </w:rPr>
            <w:t xml:space="preserve"> Ex</w:t>
          </w:r>
          <w:bookmarkStart w:id="0" w:name="_GoBack"/>
          <w:bookmarkEnd w:id="0"/>
          <w:r>
            <w:rPr>
              <w:rFonts w:ascii="Times New Roman" w:hAnsi="Times New Roman" w:cs="Times New Roman"/>
              <w:color w:val="auto"/>
              <w:sz w:val="36"/>
              <w:szCs w:val="36"/>
            </w:rPr>
            <w:t>ecutivo</w:t>
          </w:r>
        </w:p>
        <w:p w14:paraId="0305BBC8" w14:textId="77777777" w:rsidR="00A11BCF" w:rsidRPr="00A11BCF" w:rsidRDefault="00A11BCF" w:rsidP="00A11BCF">
          <w:pPr>
            <w:rPr>
              <w:lang w:eastAsia="pt-BR"/>
            </w:rPr>
          </w:pPr>
        </w:p>
        <w:p w14:paraId="41341941" w14:textId="2E05BC2D" w:rsidR="00325FBC" w:rsidRDefault="00A11BCF">
          <w:pPr>
            <w:pStyle w:val="Sumrio1"/>
            <w:tabs>
              <w:tab w:val="left" w:pos="440"/>
              <w:tab w:val="right" w:leader="dot" w:pos="9055"/>
            </w:tabs>
            <w:rPr>
              <w:rFonts w:asciiTheme="minorHAnsi" w:hAnsiTheme="minorHAnsi"/>
              <w:noProof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765177" w:history="1">
            <w:r w:rsidR="00325FBC" w:rsidRPr="00ED5722">
              <w:rPr>
                <w:rStyle w:val="Hyperlink"/>
                <w:noProof/>
              </w:rPr>
              <w:t>1)</w:t>
            </w:r>
            <w:r w:rsidR="00325FBC">
              <w:rPr>
                <w:rFonts w:asciiTheme="minorHAnsi" w:hAnsiTheme="minorHAnsi"/>
                <w:noProof/>
                <w:sz w:val="22"/>
                <w:szCs w:val="22"/>
                <w:lang w:eastAsia="pt-BR"/>
              </w:rPr>
              <w:tab/>
            </w:r>
            <w:r w:rsidR="00325FBC" w:rsidRPr="00ED5722">
              <w:rPr>
                <w:rStyle w:val="Hyperlink"/>
                <w:noProof/>
              </w:rPr>
              <w:t>Introdução</w:t>
            </w:r>
            <w:r w:rsidR="00325FBC">
              <w:rPr>
                <w:noProof/>
                <w:webHidden/>
              </w:rPr>
              <w:tab/>
            </w:r>
            <w:r w:rsidR="00325FBC">
              <w:rPr>
                <w:noProof/>
                <w:webHidden/>
              </w:rPr>
              <w:fldChar w:fldCharType="begin"/>
            </w:r>
            <w:r w:rsidR="00325FBC">
              <w:rPr>
                <w:noProof/>
                <w:webHidden/>
              </w:rPr>
              <w:instrText xml:space="preserve"> PAGEREF _Toc11765177 \h </w:instrText>
            </w:r>
            <w:r w:rsidR="00325FBC">
              <w:rPr>
                <w:noProof/>
                <w:webHidden/>
              </w:rPr>
            </w:r>
            <w:r w:rsidR="00325FBC">
              <w:rPr>
                <w:noProof/>
                <w:webHidden/>
              </w:rPr>
              <w:fldChar w:fldCharType="separate"/>
            </w:r>
            <w:r w:rsidR="00B84CB6">
              <w:rPr>
                <w:noProof/>
                <w:webHidden/>
              </w:rPr>
              <w:t>3</w:t>
            </w:r>
            <w:r w:rsidR="00325FBC">
              <w:rPr>
                <w:noProof/>
                <w:webHidden/>
              </w:rPr>
              <w:fldChar w:fldCharType="end"/>
            </w:r>
          </w:hyperlink>
        </w:p>
        <w:p w14:paraId="06B9B6F2" w14:textId="7ACC52E3" w:rsidR="00325FBC" w:rsidRDefault="00761F35">
          <w:pPr>
            <w:pStyle w:val="Sumrio1"/>
            <w:tabs>
              <w:tab w:val="left" w:pos="440"/>
              <w:tab w:val="right" w:leader="dot" w:pos="9055"/>
            </w:tabs>
            <w:rPr>
              <w:rFonts w:asciiTheme="minorHAnsi" w:hAnsiTheme="minorHAnsi"/>
              <w:noProof/>
              <w:sz w:val="22"/>
              <w:szCs w:val="22"/>
              <w:lang w:eastAsia="pt-BR"/>
            </w:rPr>
          </w:pPr>
          <w:hyperlink w:anchor="_Toc11765178" w:history="1">
            <w:r w:rsidR="00325FBC" w:rsidRPr="00ED5722">
              <w:rPr>
                <w:rStyle w:val="Hyperlink"/>
                <w:noProof/>
              </w:rPr>
              <w:t>2)</w:t>
            </w:r>
            <w:r w:rsidR="00325FBC">
              <w:rPr>
                <w:rFonts w:asciiTheme="minorHAnsi" w:hAnsiTheme="minorHAnsi"/>
                <w:noProof/>
                <w:sz w:val="22"/>
                <w:szCs w:val="22"/>
                <w:lang w:eastAsia="pt-BR"/>
              </w:rPr>
              <w:tab/>
            </w:r>
            <w:r w:rsidR="00325FBC" w:rsidRPr="00ED5722">
              <w:rPr>
                <w:rStyle w:val="Hyperlink"/>
                <w:noProof/>
              </w:rPr>
              <w:t>Estrutura do Emprego e Especialização Produtiva de Maringá</w:t>
            </w:r>
            <w:r w:rsidR="00325FBC">
              <w:rPr>
                <w:noProof/>
                <w:webHidden/>
              </w:rPr>
              <w:tab/>
            </w:r>
            <w:r w:rsidR="00325FBC">
              <w:rPr>
                <w:noProof/>
                <w:webHidden/>
              </w:rPr>
              <w:fldChar w:fldCharType="begin"/>
            </w:r>
            <w:r w:rsidR="00325FBC">
              <w:rPr>
                <w:noProof/>
                <w:webHidden/>
              </w:rPr>
              <w:instrText xml:space="preserve"> PAGEREF _Toc11765178 \h </w:instrText>
            </w:r>
            <w:r w:rsidR="00325FBC">
              <w:rPr>
                <w:noProof/>
                <w:webHidden/>
              </w:rPr>
            </w:r>
            <w:r w:rsidR="00325FBC">
              <w:rPr>
                <w:noProof/>
                <w:webHidden/>
              </w:rPr>
              <w:fldChar w:fldCharType="separate"/>
            </w:r>
            <w:r w:rsidR="00B84CB6">
              <w:rPr>
                <w:noProof/>
                <w:webHidden/>
              </w:rPr>
              <w:t>3</w:t>
            </w:r>
            <w:r w:rsidR="00325FBC">
              <w:rPr>
                <w:noProof/>
                <w:webHidden/>
              </w:rPr>
              <w:fldChar w:fldCharType="end"/>
            </w:r>
          </w:hyperlink>
        </w:p>
        <w:p w14:paraId="1DAC1DB6" w14:textId="33EC3A8F" w:rsidR="00325FBC" w:rsidRDefault="00761F35">
          <w:pPr>
            <w:pStyle w:val="Sumrio1"/>
            <w:tabs>
              <w:tab w:val="left" w:pos="440"/>
              <w:tab w:val="right" w:leader="dot" w:pos="9055"/>
            </w:tabs>
            <w:rPr>
              <w:rFonts w:asciiTheme="minorHAnsi" w:hAnsiTheme="minorHAnsi"/>
              <w:noProof/>
              <w:sz w:val="22"/>
              <w:szCs w:val="22"/>
              <w:lang w:eastAsia="pt-BR"/>
            </w:rPr>
          </w:pPr>
          <w:hyperlink w:anchor="_Toc11765179" w:history="1">
            <w:r w:rsidR="00325FBC" w:rsidRPr="00ED5722">
              <w:rPr>
                <w:rStyle w:val="Hyperlink"/>
                <w:noProof/>
              </w:rPr>
              <w:t>3)</w:t>
            </w:r>
            <w:r w:rsidR="00325FBC">
              <w:rPr>
                <w:rFonts w:asciiTheme="minorHAnsi" w:hAnsiTheme="minorHAnsi"/>
                <w:noProof/>
                <w:sz w:val="22"/>
                <w:szCs w:val="22"/>
                <w:lang w:eastAsia="pt-BR"/>
              </w:rPr>
              <w:tab/>
            </w:r>
            <w:r w:rsidR="00325FBC" w:rsidRPr="00ED5722">
              <w:rPr>
                <w:rStyle w:val="Hyperlink"/>
                <w:noProof/>
              </w:rPr>
              <w:t>Interdependência Dinâmica entre Polo e Periferia: breve aporte teórico</w:t>
            </w:r>
            <w:r w:rsidR="00325FBC">
              <w:rPr>
                <w:noProof/>
                <w:webHidden/>
              </w:rPr>
              <w:tab/>
            </w:r>
            <w:r w:rsidR="00325FBC">
              <w:rPr>
                <w:noProof/>
                <w:webHidden/>
              </w:rPr>
              <w:fldChar w:fldCharType="begin"/>
            </w:r>
            <w:r w:rsidR="00325FBC">
              <w:rPr>
                <w:noProof/>
                <w:webHidden/>
              </w:rPr>
              <w:instrText xml:space="preserve"> PAGEREF _Toc11765179 \h </w:instrText>
            </w:r>
            <w:r w:rsidR="00325FBC">
              <w:rPr>
                <w:noProof/>
                <w:webHidden/>
              </w:rPr>
            </w:r>
            <w:r w:rsidR="00325FBC">
              <w:rPr>
                <w:noProof/>
                <w:webHidden/>
              </w:rPr>
              <w:fldChar w:fldCharType="separate"/>
            </w:r>
            <w:r w:rsidR="00B84CB6">
              <w:rPr>
                <w:noProof/>
                <w:webHidden/>
              </w:rPr>
              <w:t>11</w:t>
            </w:r>
            <w:r w:rsidR="00325FBC">
              <w:rPr>
                <w:noProof/>
                <w:webHidden/>
              </w:rPr>
              <w:fldChar w:fldCharType="end"/>
            </w:r>
          </w:hyperlink>
        </w:p>
        <w:p w14:paraId="6EFC80A4" w14:textId="69851E3F" w:rsidR="00325FBC" w:rsidRDefault="00761F35">
          <w:pPr>
            <w:pStyle w:val="Sumrio1"/>
            <w:tabs>
              <w:tab w:val="left" w:pos="440"/>
              <w:tab w:val="right" w:leader="dot" w:pos="9055"/>
            </w:tabs>
            <w:rPr>
              <w:rFonts w:asciiTheme="minorHAnsi" w:hAnsiTheme="minorHAnsi"/>
              <w:noProof/>
              <w:sz w:val="22"/>
              <w:szCs w:val="22"/>
              <w:lang w:eastAsia="pt-BR"/>
            </w:rPr>
          </w:pPr>
          <w:hyperlink w:anchor="_Toc11765180" w:history="1">
            <w:r w:rsidR="00325FBC" w:rsidRPr="00ED5722">
              <w:rPr>
                <w:rStyle w:val="Hyperlink"/>
                <w:noProof/>
              </w:rPr>
              <w:t>4)</w:t>
            </w:r>
            <w:r w:rsidR="00325FBC">
              <w:rPr>
                <w:rFonts w:asciiTheme="minorHAnsi" w:hAnsiTheme="minorHAnsi"/>
                <w:noProof/>
                <w:sz w:val="22"/>
                <w:szCs w:val="22"/>
                <w:lang w:eastAsia="pt-BR"/>
              </w:rPr>
              <w:tab/>
            </w:r>
            <w:r w:rsidR="00325FBC" w:rsidRPr="00ED5722">
              <w:rPr>
                <w:rStyle w:val="Hyperlink"/>
                <w:noProof/>
              </w:rPr>
              <w:t>A questão da Região de Influência e de Solidariedade Econômica de Maringá (RISEM)</w:t>
            </w:r>
            <w:r w:rsidR="00325FBC">
              <w:rPr>
                <w:noProof/>
                <w:webHidden/>
              </w:rPr>
              <w:tab/>
            </w:r>
            <w:r w:rsidR="00325FBC">
              <w:rPr>
                <w:noProof/>
                <w:webHidden/>
              </w:rPr>
              <w:fldChar w:fldCharType="begin"/>
            </w:r>
            <w:r w:rsidR="00325FBC">
              <w:rPr>
                <w:noProof/>
                <w:webHidden/>
              </w:rPr>
              <w:instrText xml:space="preserve"> PAGEREF _Toc11765180 \h </w:instrText>
            </w:r>
            <w:r w:rsidR="00325FBC">
              <w:rPr>
                <w:noProof/>
                <w:webHidden/>
              </w:rPr>
            </w:r>
            <w:r w:rsidR="00325FBC">
              <w:rPr>
                <w:noProof/>
                <w:webHidden/>
              </w:rPr>
              <w:fldChar w:fldCharType="separate"/>
            </w:r>
            <w:r w:rsidR="00B84CB6">
              <w:rPr>
                <w:noProof/>
                <w:webHidden/>
              </w:rPr>
              <w:t>14</w:t>
            </w:r>
            <w:r w:rsidR="00325FBC">
              <w:rPr>
                <w:noProof/>
                <w:webHidden/>
              </w:rPr>
              <w:fldChar w:fldCharType="end"/>
            </w:r>
          </w:hyperlink>
        </w:p>
        <w:p w14:paraId="67E01640" w14:textId="7A1E74AA" w:rsidR="00325FBC" w:rsidRDefault="00761F35">
          <w:pPr>
            <w:pStyle w:val="Sumrio1"/>
            <w:tabs>
              <w:tab w:val="left" w:pos="440"/>
              <w:tab w:val="right" w:leader="dot" w:pos="9055"/>
            </w:tabs>
            <w:rPr>
              <w:rFonts w:asciiTheme="minorHAnsi" w:hAnsiTheme="minorHAnsi"/>
              <w:noProof/>
              <w:sz w:val="22"/>
              <w:szCs w:val="22"/>
              <w:lang w:eastAsia="pt-BR"/>
            </w:rPr>
          </w:pPr>
          <w:hyperlink w:anchor="_Toc11765181" w:history="1">
            <w:r w:rsidR="00325FBC" w:rsidRPr="00ED5722">
              <w:rPr>
                <w:rStyle w:val="Hyperlink"/>
                <w:noProof/>
              </w:rPr>
              <w:t>4)</w:t>
            </w:r>
            <w:r w:rsidR="00325FBC">
              <w:rPr>
                <w:rFonts w:asciiTheme="minorHAnsi" w:hAnsiTheme="minorHAnsi"/>
                <w:noProof/>
                <w:sz w:val="22"/>
                <w:szCs w:val="22"/>
                <w:lang w:eastAsia="pt-BR"/>
              </w:rPr>
              <w:tab/>
            </w:r>
            <w:r w:rsidR="00325FBC" w:rsidRPr="00ED5722">
              <w:rPr>
                <w:rStyle w:val="Hyperlink"/>
                <w:noProof/>
              </w:rPr>
              <w:t>Metodologia de Identificação da RISEM</w:t>
            </w:r>
            <w:r w:rsidR="00325FBC">
              <w:rPr>
                <w:noProof/>
                <w:webHidden/>
              </w:rPr>
              <w:tab/>
            </w:r>
            <w:r w:rsidR="00325FBC">
              <w:rPr>
                <w:noProof/>
                <w:webHidden/>
              </w:rPr>
              <w:fldChar w:fldCharType="begin"/>
            </w:r>
            <w:r w:rsidR="00325FBC">
              <w:rPr>
                <w:noProof/>
                <w:webHidden/>
              </w:rPr>
              <w:instrText xml:space="preserve"> PAGEREF _Toc11765181 \h </w:instrText>
            </w:r>
            <w:r w:rsidR="00325FBC">
              <w:rPr>
                <w:noProof/>
                <w:webHidden/>
              </w:rPr>
            </w:r>
            <w:r w:rsidR="00325FBC">
              <w:rPr>
                <w:noProof/>
                <w:webHidden/>
              </w:rPr>
              <w:fldChar w:fldCharType="separate"/>
            </w:r>
            <w:r w:rsidR="00B84CB6">
              <w:rPr>
                <w:noProof/>
                <w:webHidden/>
              </w:rPr>
              <w:t>19</w:t>
            </w:r>
            <w:r w:rsidR="00325FBC">
              <w:rPr>
                <w:noProof/>
                <w:webHidden/>
              </w:rPr>
              <w:fldChar w:fldCharType="end"/>
            </w:r>
          </w:hyperlink>
        </w:p>
        <w:p w14:paraId="1AC28D10" w14:textId="0D68EECD" w:rsidR="00325FBC" w:rsidRDefault="00761F35">
          <w:pPr>
            <w:pStyle w:val="Sumrio1"/>
            <w:tabs>
              <w:tab w:val="left" w:pos="440"/>
              <w:tab w:val="right" w:leader="dot" w:pos="9055"/>
            </w:tabs>
            <w:rPr>
              <w:rFonts w:asciiTheme="minorHAnsi" w:hAnsiTheme="minorHAnsi"/>
              <w:noProof/>
              <w:sz w:val="22"/>
              <w:szCs w:val="22"/>
              <w:lang w:eastAsia="pt-BR"/>
            </w:rPr>
          </w:pPr>
          <w:hyperlink w:anchor="_Toc11765182" w:history="1">
            <w:r w:rsidR="00325FBC" w:rsidRPr="00ED5722">
              <w:rPr>
                <w:rStyle w:val="Hyperlink"/>
                <w:noProof/>
              </w:rPr>
              <w:t>5)</w:t>
            </w:r>
            <w:r w:rsidR="00325FBC">
              <w:rPr>
                <w:rFonts w:asciiTheme="minorHAnsi" w:hAnsiTheme="minorHAnsi"/>
                <w:noProof/>
                <w:sz w:val="22"/>
                <w:szCs w:val="22"/>
                <w:lang w:eastAsia="pt-BR"/>
              </w:rPr>
              <w:tab/>
            </w:r>
            <w:r w:rsidR="00325FBC" w:rsidRPr="00ED5722">
              <w:rPr>
                <w:rStyle w:val="Hyperlink"/>
                <w:noProof/>
              </w:rPr>
              <w:t>Orçamento</w:t>
            </w:r>
            <w:r w:rsidR="00325FBC">
              <w:rPr>
                <w:noProof/>
                <w:webHidden/>
              </w:rPr>
              <w:tab/>
            </w:r>
            <w:r w:rsidR="00325FBC">
              <w:rPr>
                <w:noProof/>
                <w:webHidden/>
              </w:rPr>
              <w:fldChar w:fldCharType="begin"/>
            </w:r>
            <w:r w:rsidR="00325FBC">
              <w:rPr>
                <w:noProof/>
                <w:webHidden/>
              </w:rPr>
              <w:instrText xml:space="preserve"> PAGEREF _Toc11765182 \h </w:instrText>
            </w:r>
            <w:r w:rsidR="00325FBC">
              <w:rPr>
                <w:noProof/>
                <w:webHidden/>
              </w:rPr>
            </w:r>
            <w:r w:rsidR="00325FBC">
              <w:rPr>
                <w:noProof/>
                <w:webHidden/>
              </w:rPr>
              <w:fldChar w:fldCharType="separate"/>
            </w:r>
            <w:r w:rsidR="00B84CB6">
              <w:rPr>
                <w:noProof/>
                <w:webHidden/>
              </w:rPr>
              <w:t>21</w:t>
            </w:r>
            <w:r w:rsidR="00325FBC">
              <w:rPr>
                <w:noProof/>
                <w:webHidden/>
              </w:rPr>
              <w:fldChar w:fldCharType="end"/>
            </w:r>
          </w:hyperlink>
        </w:p>
        <w:p w14:paraId="34AA634C" w14:textId="4C8732F6" w:rsidR="00325FBC" w:rsidRDefault="00761F35">
          <w:pPr>
            <w:pStyle w:val="Sumrio1"/>
            <w:tabs>
              <w:tab w:val="left" w:pos="440"/>
              <w:tab w:val="right" w:leader="dot" w:pos="9055"/>
            </w:tabs>
            <w:rPr>
              <w:rFonts w:asciiTheme="minorHAnsi" w:hAnsiTheme="minorHAnsi"/>
              <w:noProof/>
              <w:sz w:val="22"/>
              <w:szCs w:val="22"/>
              <w:lang w:eastAsia="pt-BR"/>
            </w:rPr>
          </w:pPr>
          <w:hyperlink w:anchor="_Toc11765183" w:history="1">
            <w:r w:rsidR="00325FBC" w:rsidRPr="00ED5722">
              <w:rPr>
                <w:rStyle w:val="Hyperlink"/>
                <w:noProof/>
              </w:rPr>
              <w:t>6)</w:t>
            </w:r>
            <w:r w:rsidR="00325FBC">
              <w:rPr>
                <w:rFonts w:asciiTheme="minorHAnsi" w:hAnsiTheme="minorHAnsi"/>
                <w:noProof/>
                <w:sz w:val="22"/>
                <w:szCs w:val="22"/>
                <w:lang w:eastAsia="pt-BR"/>
              </w:rPr>
              <w:tab/>
            </w:r>
            <w:r w:rsidR="00325FBC" w:rsidRPr="00ED5722">
              <w:rPr>
                <w:rStyle w:val="Hyperlink"/>
                <w:noProof/>
              </w:rPr>
              <w:t>Referências</w:t>
            </w:r>
            <w:r w:rsidR="00325FBC">
              <w:rPr>
                <w:noProof/>
                <w:webHidden/>
              </w:rPr>
              <w:tab/>
            </w:r>
            <w:r w:rsidR="00325FBC">
              <w:rPr>
                <w:noProof/>
                <w:webHidden/>
              </w:rPr>
              <w:fldChar w:fldCharType="begin"/>
            </w:r>
            <w:r w:rsidR="00325FBC">
              <w:rPr>
                <w:noProof/>
                <w:webHidden/>
              </w:rPr>
              <w:instrText xml:space="preserve"> PAGEREF _Toc11765183 \h </w:instrText>
            </w:r>
            <w:r w:rsidR="00325FBC">
              <w:rPr>
                <w:noProof/>
                <w:webHidden/>
              </w:rPr>
            </w:r>
            <w:r w:rsidR="00325FBC">
              <w:rPr>
                <w:noProof/>
                <w:webHidden/>
              </w:rPr>
              <w:fldChar w:fldCharType="separate"/>
            </w:r>
            <w:r w:rsidR="00B84CB6">
              <w:rPr>
                <w:noProof/>
                <w:webHidden/>
              </w:rPr>
              <w:t>24</w:t>
            </w:r>
            <w:r w:rsidR="00325FBC">
              <w:rPr>
                <w:noProof/>
                <w:webHidden/>
              </w:rPr>
              <w:fldChar w:fldCharType="end"/>
            </w:r>
          </w:hyperlink>
        </w:p>
        <w:p w14:paraId="48ECF534" w14:textId="33438AE4" w:rsidR="00A11BCF" w:rsidRDefault="00A11BCF">
          <w:r>
            <w:rPr>
              <w:b/>
              <w:bCs/>
            </w:rPr>
            <w:fldChar w:fldCharType="end"/>
          </w:r>
        </w:p>
      </w:sdtContent>
    </w:sdt>
    <w:p w14:paraId="68A0C22D" w14:textId="13DCEECE" w:rsidR="00A11BCF" w:rsidRPr="00E00ED6" w:rsidRDefault="00A11BCF">
      <w:pPr>
        <w:spacing w:after="0" w:line="240" w:lineRule="auto"/>
        <w:jc w:val="left"/>
      </w:pPr>
      <w:r>
        <w:br w:type="page"/>
      </w:r>
    </w:p>
    <w:p w14:paraId="2223A386" w14:textId="77777777" w:rsidR="00D053E4" w:rsidRDefault="00D053E4" w:rsidP="00BE1ABB">
      <w:pPr>
        <w:spacing w:after="120"/>
        <w:ind w:firstLine="709"/>
        <w:contextualSpacing/>
      </w:pPr>
    </w:p>
    <w:p w14:paraId="75C0A11F" w14:textId="48A966EC" w:rsidR="00626029" w:rsidRDefault="00626029" w:rsidP="00D053E4">
      <w:pPr>
        <w:pStyle w:val="PargrafodaLista"/>
        <w:numPr>
          <w:ilvl w:val="0"/>
          <w:numId w:val="1"/>
        </w:numPr>
        <w:spacing w:after="120"/>
        <w:ind w:left="0" w:firstLine="709"/>
        <w:outlineLvl w:val="0"/>
        <w:rPr>
          <w:sz w:val="28"/>
          <w:szCs w:val="28"/>
        </w:rPr>
      </w:pPr>
      <w:bookmarkStart w:id="1" w:name="_Toc11765177"/>
      <w:r w:rsidRPr="00D94346">
        <w:rPr>
          <w:sz w:val="28"/>
          <w:szCs w:val="28"/>
        </w:rPr>
        <w:t>Introdução</w:t>
      </w:r>
      <w:bookmarkEnd w:id="1"/>
    </w:p>
    <w:p w14:paraId="70A49B6C" w14:textId="2AD68B31" w:rsidR="007F1FA6" w:rsidRDefault="008F3465" w:rsidP="00D94346">
      <w:pPr>
        <w:widowControl w:val="0"/>
        <w:autoSpaceDE w:val="0"/>
        <w:autoSpaceDN w:val="0"/>
        <w:adjustRightInd w:val="0"/>
        <w:spacing w:after="120"/>
        <w:ind w:firstLine="709"/>
        <w:contextualSpacing/>
        <w:rPr>
          <w:rFonts w:cs="Times New Roman"/>
        </w:rPr>
      </w:pPr>
      <w:r>
        <w:rPr>
          <w:rFonts w:cs="Times New Roman"/>
        </w:rPr>
        <w:t xml:space="preserve">Este Projeto de Pesquisa e Consultoria </w:t>
      </w:r>
      <w:r w:rsidR="007F1FA6">
        <w:rPr>
          <w:rFonts w:cs="Times New Roman"/>
        </w:rPr>
        <w:t xml:space="preserve">nos </w:t>
      </w:r>
      <w:r>
        <w:rPr>
          <w:rFonts w:cs="Times New Roman"/>
        </w:rPr>
        <w:t xml:space="preserve">foi </w:t>
      </w:r>
      <w:r w:rsidR="007F1FA6">
        <w:rPr>
          <w:rFonts w:cs="Times New Roman"/>
        </w:rPr>
        <w:t xml:space="preserve">solicitado </w:t>
      </w:r>
      <w:r>
        <w:rPr>
          <w:rFonts w:cs="Times New Roman"/>
        </w:rPr>
        <w:t xml:space="preserve">por </w:t>
      </w:r>
      <w:r w:rsidR="007F1FA6">
        <w:rPr>
          <w:rFonts w:cs="Times New Roman"/>
        </w:rPr>
        <w:t xml:space="preserve">alguns </w:t>
      </w:r>
      <w:r>
        <w:rPr>
          <w:rFonts w:cs="Times New Roman"/>
        </w:rPr>
        <w:t xml:space="preserve">membros do Conselho de Desenvolvimento de Maringá </w:t>
      </w:r>
      <w:r w:rsidR="00476E9F">
        <w:rPr>
          <w:rFonts w:cs="Times New Roman"/>
        </w:rPr>
        <w:t xml:space="preserve">(CODEM) conscientes da </w:t>
      </w:r>
      <w:r>
        <w:rPr>
          <w:rFonts w:cs="Times New Roman"/>
        </w:rPr>
        <w:t xml:space="preserve">necessidade </w:t>
      </w:r>
      <w:r w:rsidR="00476E9F">
        <w:rPr>
          <w:rFonts w:cs="Times New Roman"/>
        </w:rPr>
        <w:t xml:space="preserve">de determinar, de forma científica rigorosa, </w:t>
      </w:r>
      <w:r>
        <w:rPr>
          <w:rFonts w:cs="Times New Roman"/>
        </w:rPr>
        <w:t xml:space="preserve">a Região de Influência </w:t>
      </w:r>
      <w:r w:rsidR="00476E9F">
        <w:rPr>
          <w:rFonts w:cs="Times New Roman"/>
        </w:rPr>
        <w:t>e Solidariedade E</w:t>
      </w:r>
      <w:r>
        <w:rPr>
          <w:rFonts w:cs="Times New Roman"/>
        </w:rPr>
        <w:t>conômica deste município. O fundamento deste interesse é bastante claro e</w:t>
      </w:r>
      <w:r w:rsidR="007F1FA6">
        <w:rPr>
          <w:rFonts w:cs="Times New Roman"/>
        </w:rPr>
        <w:t xml:space="preserve"> – tal como procuraremos demonstrar na sequência - muito pertinente: </w:t>
      </w:r>
      <w:r w:rsidR="007F1FA6" w:rsidRPr="007F1FA6">
        <w:rPr>
          <w:rFonts w:cs="Times New Roman"/>
          <w:b/>
        </w:rPr>
        <w:t>a dinâmica econômica de um município polo cuja principal especialização produtiva encontra-se no segmento de Serviços U</w:t>
      </w:r>
      <w:r w:rsidRPr="007F1FA6">
        <w:rPr>
          <w:rFonts w:cs="Times New Roman"/>
          <w:b/>
        </w:rPr>
        <w:t>rbanos de média e alta complexidade (educacionais, logísticos, financeiros, de saúde, jurídicos, tecn</w:t>
      </w:r>
      <w:r w:rsidR="007F1FA6" w:rsidRPr="007F1FA6">
        <w:rPr>
          <w:rFonts w:cs="Times New Roman"/>
          <w:b/>
        </w:rPr>
        <w:t>ológicos, contábeis, etc.)</w:t>
      </w:r>
      <w:r w:rsidRPr="007F1FA6">
        <w:rPr>
          <w:rFonts w:cs="Times New Roman"/>
          <w:b/>
        </w:rPr>
        <w:t xml:space="preserve"> </w:t>
      </w:r>
      <w:r w:rsidR="007F1FA6" w:rsidRPr="007F1FA6">
        <w:rPr>
          <w:rFonts w:cs="Times New Roman"/>
          <w:b/>
        </w:rPr>
        <w:t xml:space="preserve">é indissociável da </w:t>
      </w:r>
      <w:r w:rsidRPr="007F1FA6">
        <w:rPr>
          <w:rFonts w:cs="Times New Roman"/>
          <w:b/>
        </w:rPr>
        <w:t>dinâmica econômica dos municípios que compõem sua periferia.</w:t>
      </w:r>
      <w:r>
        <w:rPr>
          <w:rFonts w:cs="Times New Roman"/>
        </w:rPr>
        <w:t xml:space="preserve"> </w:t>
      </w:r>
      <w:r w:rsidR="007F1FA6">
        <w:rPr>
          <w:rFonts w:cs="Times New Roman"/>
        </w:rPr>
        <w:t xml:space="preserve">Identificar esta periferia e apoiá-la no processo de ampliação do emprego e da renda é condição </w:t>
      </w:r>
      <w:proofErr w:type="spellStart"/>
      <w:r w:rsidR="007F1FA6">
        <w:rPr>
          <w:rFonts w:cs="Times New Roman"/>
          <w:i/>
        </w:rPr>
        <w:t>sine</w:t>
      </w:r>
      <w:proofErr w:type="spellEnd"/>
      <w:r w:rsidR="007F1FA6">
        <w:rPr>
          <w:rFonts w:cs="Times New Roman"/>
          <w:i/>
        </w:rPr>
        <w:t xml:space="preserve"> </w:t>
      </w:r>
      <w:proofErr w:type="spellStart"/>
      <w:r w:rsidR="007F1FA6">
        <w:rPr>
          <w:rFonts w:cs="Times New Roman"/>
          <w:i/>
        </w:rPr>
        <w:t>qua</w:t>
      </w:r>
      <w:proofErr w:type="spellEnd"/>
      <w:r w:rsidR="007F1FA6">
        <w:rPr>
          <w:rFonts w:cs="Times New Roman"/>
          <w:i/>
        </w:rPr>
        <w:t xml:space="preserve"> non</w:t>
      </w:r>
      <w:r w:rsidR="007F1FA6">
        <w:rPr>
          <w:rFonts w:cs="Times New Roman"/>
        </w:rPr>
        <w:t xml:space="preserve"> para o crescimento economicamente sustentável de Maringá. </w:t>
      </w:r>
    </w:p>
    <w:p w14:paraId="65CEA6E6" w14:textId="77777777" w:rsidR="007F1FA6" w:rsidRDefault="007F1FA6" w:rsidP="00D94346">
      <w:pPr>
        <w:widowControl w:val="0"/>
        <w:autoSpaceDE w:val="0"/>
        <w:autoSpaceDN w:val="0"/>
        <w:adjustRightInd w:val="0"/>
        <w:spacing w:after="120"/>
        <w:ind w:firstLine="709"/>
        <w:contextualSpacing/>
        <w:rPr>
          <w:rFonts w:cs="Times New Roman"/>
        </w:rPr>
      </w:pPr>
    </w:p>
    <w:p w14:paraId="01A5446D" w14:textId="27ECD321" w:rsidR="00D94346" w:rsidRDefault="007F1FA6" w:rsidP="00012E0A">
      <w:pPr>
        <w:widowControl w:val="0"/>
        <w:autoSpaceDE w:val="0"/>
        <w:autoSpaceDN w:val="0"/>
        <w:adjustRightInd w:val="0"/>
        <w:spacing w:after="120"/>
        <w:ind w:firstLine="709"/>
        <w:contextualSpacing/>
        <w:rPr>
          <w:rFonts w:cs="Times New Roman"/>
        </w:rPr>
      </w:pPr>
      <w:r>
        <w:rPr>
          <w:rFonts w:cs="Times New Roman"/>
        </w:rPr>
        <w:t xml:space="preserve">O projeto que agora apresentamos volta-se tão somente ao primeiro desafio: identificar a Região de Influência e Solidariedade Econômica de Maringá (doravante, RISEM), e ele está subdividido em </w:t>
      </w:r>
      <w:r w:rsidR="00012E0A">
        <w:rPr>
          <w:rFonts w:cs="Times New Roman"/>
        </w:rPr>
        <w:t xml:space="preserve">seis seções, para além desta Introdução: </w:t>
      </w:r>
      <w:r w:rsidR="00D94346" w:rsidRPr="004D613B">
        <w:rPr>
          <w:rFonts w:cs="Times New Roman"/>
        </w:rPr>
        <w:t xml:space="preserve">1) Estrutura do Emprego e Especialização Produtiva de Maringá; 2) </w:t>
      </w:r>
      <w:r w:rsidR="00012E0A">
        <w:rPr>
          <w:rFonts w:cs="Times New Roman"/>
        </w:rPr>
        <w:t>Interdependência dinâmica entre Polo e Periferia: breve aporte teórico; 3) A questão da Região de Influência e Solidariedade Econômica de Maringá (RISEM); 4</w:t>
      </w:r>
      <w:r w:rsidR="00871230" w:rsidRPr="004D613B">
        <w:rPr>
          <w:rFonts w:cs="Times New Roman"/>
        </w:rPr>
        <w:t>) Metodologia</w:t>
      </w:r>
      <w:r w:rsidR="00012E0A">
        <w:rPr>
          <w:rFonts w:cs="Times New Roman"/>
        </w:rPr>
        <w:t xml:space="preserve"> de Trabalho; 5</w:t>
      </w:r>
      <w:r w:rsidR="00871230" w:rsidRPr="004D613B">
        <w:rPr>
          <w:rFonts w:cs="Times New Roman"/>
        </w:rPr>
        <w:t xml:space="preserve">) </w:t>
      </w:r>
      <w:r w:rsidR="00012E0A">
        <w:rPr>
          <w:rFonts w:cs="Times New Roman"/>
        </w:rPr>
        <w:t>Bibliografia. 6</w:t>
      </w:r>
      <w:r w:rsidR="004D613B">
        <w:rPr>
          <w:rFonts w:cs="Times New Roman"/>
        </w:rPr>
        <w:t xml:space="preserve">) </w:t>
      </w:r>
      <w:r w:rsidR="00871230" w:rsidRPr="004D613B">
        <w:rPr>
          <w:rFonts w:cs="Times New Roman"/>
        </w:rPr>
        <w:t xml:space="preserve">Orçamento. </w:t>
      </w:r>
    </w:p>
    <w:p w14:paraId="3716573A" w14:textId="77777777" w:rsidR="00D94346" w:rsidRPr="00D94346" w:rsidRDefault="00D94346" w:rsidP="00D94346">
      <w:pPr>
        <w:widowControl w:val="0"/>
        <w:autoSpaceDE w:val="0"/>
        <w:autoSpaceDN w:val="0"/>
        <w:adjustRightInd w:val="0"/>
        <w:spacing w:after="120"/>
        <w:ind w:firstLine="709"/>
        <w:contextualSpacing/>
        <w:rPr>
          <w:rFonts w:cs="Times New Roman"/>
        </w:rPr>
      </w:pPr>
    </w:p>
    <w:p w14:paraId="767D028A" w14:textId="77777777" w:rsidR="00D94346" w:rsidRPr="00D94346" w:rsidRDefault="00D94346" w:rsidP="00D94346">
      <w:pPr>
        <w:widowControl w:val="0"/>
        <w:autoSpaceDE w:val="0"/>
        <w:autoSpaceDN w:val="0"/>
        <w:adjustRightInd w:val="0"/>
        <w:spacing w:after="120"/>
        <w:ind w:firstLine="709"/>
        <w:contextualSpacing/>
        <w:rPr>
          <w:rFonts w:cs="Times New Roman"/>
        </w:rPr>
      </w:pPr>
    </w:p>
    <w:p w14:paraId="3752F74F" w14:textId="5E8252A5" w:rsidR="00D94346" w:rsidRPr="00CB28E0" w:rsidRDefault="00D94346" w:rsidP="00D053E4">
      <w:pPr>
        <w:pStyle w:val="PargrafodaLista"/>
        <w:numPr>
          <w:ilvl w:val="0"/>
          <w:numId w:val="1"/>
        </w:numPr>
        <w:spacing w:after="120"/>
        <w:ind w:left="0" w:firstLine="709"/>
        <w:outlineLvl w:val="0"/>
        <w:rPr>
          <w:sz w:val="28"/>
          <w:szCs w:val="28"/>
        </w:rPr>
      </w:pPr>
      <w:bookmarkStart w:id="2" w:name="_Toc11765178"/>
      <w:r w:rsidRPr="00CB28E0">
        <w:rPr>
          <w:sz w:val="28"/>
          <w:szCs w:val="28"/>
        </w:rPr>
        <w:t>Estrutura do Emprego e Especialização Produtiva de Maringá</w:t>
      </w:r>
      <w:bookmarkEnd w:id="2"/>
    </w:p>
    <w:p w14:paraId="79F20696" w14:textId="414E0843" w:rsidR="00626029" w:rsidRDefault="001068A4" w:rsidP="00BE1ABB">
      <w:pPr>
        <w:spacing w:after="120"/>
        <w:ind w:firstLine="709"/>
        <w:contextualSpacing/>
      </w:pPr>
      <w:r>
        <w:t xml:space="preserve">O município de </w:t>
      </w:r>
      <w:r w:rsidR="00626029">
        <w:t>Maringá é</w:t>
      </w:r>
      <w:r>
        <w:t xml:space="preserve"> - juntamente com Londrina -</w:t>
      </w:r>
      <w:r w:rsidR="00626029">
        <w:t xml:space="preserve"> um </w:t>
      </w:r>
      <w:r>
        <w:t>dos dois principais polos regionais do norte do Paraná. E a principal característica de ambos é que são “</w:t>
      </w:r>
      <w:r w:rsidRPr="001068A4">
        <w:rPr>
          <w:b/>
        </w:rPr>
        <w:t>polos de serviços</w:t>
      </w:r>
      <w:r>
        <w:t>”. Uma dimensão amplamente reconhecida na literatura disponível sobre os dois municípios e que é apresentada co</w:t>
      </w:r>
      <w:r w:rsidR="00D56354">
        <w:t>m clareza exemplar nos</w:t>
      </w:r>
      <w:r>
        <w:t xml:space="preserve"> parágrafos </w:t>
      </w:r>
      <w:r w:rsidR="00D56354">
        <w:t xml:space="preserve">iniciais </w:t>
      </w:r>
      <w:r>
        <w:t>do primeiro capítulo do documento “Maringá-2030</w:t>
      </w:r>
      <w:r w:rsidR="00BE1ABB">
        <w:t>”</w:t>
      </w:r>
      <w:r w:rsidR="00D56354">
        <w:t xml:space="preserve">. </w:t>
      </w:r>
      <w:r w:rsidR="00BE1ABB">
        <w:t>A</w:t>
      </w:r>
      <w:r w:rsidR="00D56354">
        <w:t xml:space="preserve"> página </w:t>
      </w:r>
      <w:r w:rsidR="00FE002B">
        <w:t xml:space="preserve">8 deste documento, que trata da perda de dinamismo do município nos anos 90, lê-se: </w:t>
      </w:r>
    </w:p>
    <w:p w14:paraId="467AA996" w14:textId="18EE9985" w:rsidR="00E44873" w:rsidRPr="00BE1ABB" w:rsidRDefault="005938B9" w:rsidP="00BE1ABB">
      <w:pPr>
        <w:widowControl w:val="0"/>
        <w:autoSpaceDE w:val="0"/>
        <w:autoSpaceDN w:val="0"/>
        <w:adjustRightInd w:val="0"/>
        <w:spacing w:after="120" w:line="240" w:lineRule="auto"/>
        <w:ind w:left="2268"/>
        <w:contextualSpacing/>
        <w:rPr>
          <w:rFonts w:ascii="Times" w:hAnsi="Times" w:cs="Times"/>
          <w:sz w:val="22"/>
          <w:szCs w:val="22"/>
        </w:rPr>
      </w:pPr>
      <w:r w:rsidRPr="00BE1ABB">
        <w:rPr>
          <w:rFonts w:cs="Times New Roman"/>
          <w:sz w:val="22"/>
          <w:szCs w:val="22"/>
        </w:rPr>
        <w:t>“</w:t>
      </w:r>
      <w:r w:rsidR="00FE002B" w:rsidRPr="00BE1ABB">
        <w:rPr>
          <w:rFonts w:cs="Times New Roman"/>
          <w:sz w:val="22"/>
          <w:szCs w:val="22"/>
        </w:rPr>
        <w:t>Maringá já era [então] uma cidade-polo regional que exercia atração numa regiã</w:t>
      </w:r>
      <w:r w:rsidR="00E44873" w:rsidRPr="00BE1ABB">
        <w:rPr>
          <w:rFonts w:cs="Times New Roman"/>
          <w:sz w:val="22"/>
          <w:szCs w:val="22"/>
        </w:rPr>
        <w:t>o com aproximadamente 127 muni</w:t>
      </w:r>
      <w:r w:rsidR="00FE002B" w:rsidRPr="00BE1ABB">
        <w:rPr>
          <w:rFonts w:cs="Times New Roman"/>
          <w:sz w:val="22"/>
          <w:szCs w:val="22"/>
        </w:rPr>
        <w:t xml:space="preserve">cípios e população superior a 1,5 milhão de habitantes. </w:t>
      </w:r>
      <w:r w:rsidR="00FE002B" w:rsidRPr="00BE1ABB">
        <w:rPr>
          <w:rFonts w:cs="Times New Roman"/>
          <w:b/>
          <w:sz w:val="22"/>
          <w:szCs w:val="22"/>
        </w:rPr>
        <w:t xml:space="preserve">Era o centro de comércio regional, o centro </w:t>
      </w:r>
      <w:r w:rsidR="00FE002B" w:rsidRPr="00BE1ABB">
        <w:rPr>
          <w:rFonts w:cs="Times New Roman"/>
          <w:b/>
          <w:sz w:val="22"/>
          <w:szCs w:val="22"/>
        </w:rPr>
        <w:lastRenderedPageBreak/>
        <w:t>prestador de serviços</w:t>
      </w:r>
      <w:r w:rsidR="00FE002B" w:rsidRPr="00BE1ABB">
        <w:rPr>
          <w:rFonts w:cs="Times New Roman"/>
          <w:sz w:val="22"/>
          <w:szCs w:val="22"/>
        </w:rPr>
        <w:t xml:space="preserve"> e o polo industr</w:t>
      </w:r>
      <w:r w:rsidR="00E44873" w:rsidRPr="00BE1ABB">
        <w:rPr>
          <w:rFonts w:cs="Times New Roman"/>
          <w:sz w:val="22"/>
          <w:szCs w:val="22"/>
        </w:rPr>
        <w:t>ial. Muito embora suas ativida</w:t>
      </w:r>
      <w:r w:rsidR="00FE002B" w:rsidRPr="00BE1ABB">
        <w:rPr>
          <w:rFonts w:cs="Times New Roman"/>
          <w:sz w:val="22"/>
          <w:szCs w:val="22"/>
        </w:rPr>
        <w:t xml:space="preserve">des primárias fossem de pouca significância em razão de seu pequeno território, as demais atividades econômicas desenvolvidas em </w:t>
      </w:r>
      <w:r w:rsidR="00FE002B" w:rsidRPr="00BE1ABB">
        <w:rPr>
          <w:rFonts w:cs="Times New Roman"/>
          <w:b/>
          <w:sz w:val="22"/>
          <w:szCs w:val="22"/>
        </w:rPr>
        <w:t>Maringá mantinham um elevado grau de relação e dependência com a atividade p</w:t>
      </w:r>
      <w:r w:rsidR="00E44873" w:rsidRPr="00BE1ABB">
        <w:rPr>
          <w:rFonts w:cs="Times New Roman"/>
          <w:b/>
          <w:sz w:val="22"/>
          <w:szCs w:val="22"/>
        </w:rPr>
        <w:t>rimária re</w:t>
      </w:r>
      <w:r w:rsidR="00FE002B" w:rsidRPr="00BE1ABB">
        <w:rPr>
          <w:rFonts w:cs="Times New Roman"/>
          <w:b/>
          <w:sz w:val="22"/>
          <w:szCs w:val="22"/>
        </w:rPr>
        <w:t xml:space="preserve">gional. Frustrações de safras, políticas de preços agrícolas, </w:t>
      </w:r>
      <w:r w:rsidR="00FE002B" w:rsidRPr="00BE1ABB">
        <w:rPr>
          <w:rFonts w:cs="Times New Roman"/>
          <w:sz w:val="22"/>
          <w:szCs w:val="22"/>
        </w:rPr>
        <w:t>política de comércio exteri</w:t>
      </w:r>
      <w:r w:rsidR="00E44873" w:rsidRPr="00BE1ABB">
        <w:rPr>
          <w:rFonts w:cs="Times New Roman"/>
          <w:sz w:val="22"/>
          <w:szCs w:val="22"/>
        </w:rPr>
        <w:t>or relacionada à produção agrí</w:t>
      </w:r>
      <w:r w:rsidR="00FE002B" w:rsidRPr="00BE1ABB">
        <w:rPr>
          <w:rFonts w:cs="Times New Roman"/>
          <w:sz w:val="22"/>
          <w:szCs w:val="22"/>
        </w:rPr>
        <w:t xml:space="preserve">cola e a produtos semielaborados e a produtos de baixo valor agregado, </w:t>
      </w:r>
      <w:r w:rsidR="00FE002B" w:rsidRPr="00BE1ABB">
        <w:rPr>
          <w:rFonts w:cs="Times New Roman"/>
          <w:b/>
          <w:sz w:val="22"/>
          <w:szCs w:val="22"/>
        </w:rPr>
        <w:t>refletiam de modo impactante na</w:t>
      </w:r>
      <w:r w:rsidR="00403B00" w:rsidRPr="00BE1ABB">
        <w:rPr>
          <w:rFonts w:cs="Times New Roman"/>
          <w:b/>
          <w:sz w:val="22"/>
          <w:szCs w:val="22"/>
        </w:rPr>
        <w:t xml:space="preserve"> atividade</w:t>
      </w:r>
      <w:r w:rsidR="00E44873" w:rsidRPr="00BE1ABB">
        <w:rPr>
          <w:rFonts w:cs="Times New Roman"/>
          <w:b/>
          <w:sz w:val="22"/>
          <w:szCs w:val="22"/>
        </w:rPr>
        <w:t xml:space="preserve"> econômica regional e, por conseguinte, na atividade econômica de Maringá</w:t>
      </w:r>
      <w:r w:rsidR="00E44873" w:rsidRPr="00BE1ABB">
        <w:rPr>
          <w:rFonts w:cs="Times New Roman"/>
          <w:sz w:val="22"/>
          <w:szCs w:val="22"/>
        </w:rPr>
        <w:t>.</w:t>
      </w:r>
      <w:r w:rsidRPr="00BE1ABB">
        <w:rPr>
          <w:rFonts w:cs="Times New Roman"/>
          <w:sz w:val="22"/>
          <w:szCs w:val="22"/>
        </w:rPr>
        <w:t xml:space="preserve">” CODEM </w:t>
      </w:r>
      <w:r w:rsidR="001043EB">
        <w:rPr>
          <w:rFonts w:cs="Times New Roman"/>
          <w:sz w:val="22"/>
          <w:szCs w:val="22"/>
        </w:rPr>
        <w:t>(2011). (O</w:t>
      </w:r>
      <w:r w:rsidR="00B33FF5" w:rsidRPr="00BE1ABB">
        <w:rPr>
          <w:rFonts w:cs="Times New Roman"/>
          <w:sz w:val="22"/>
          <w:szCs w:val="22"/>
        </w:rPr>
        <w:t>s negritos são nossos)</w:t>
      </w:r>
    </w:p>
    <w:p w14:paraId="62DA3ED9" w14:textId="4341A965" w:rsidR="00FE002B" w:rsidRDefault="005938B9" w:rsidP="00BE1ABB">
      <w:pPr>
        <w:widowControl w:val="0"/>
        <w:autoSpaceDE w:val="0"/>
        <w:autoSpaceDN w:val="0"/>
        <w:adjustRightInd w:val="0"/>
        <w:spacing w:after="120"/>
        <w:ind w:firstLine="709"/>
        <w:contextualSpacing/>
        <w:rPr>
          <w:rFonts w:cs="Times New Roman"/>
        </w:rPr>
      </w:pPr>
      <w:r w:rsidRPr="005938B9">
        <w:rPr>
          <w:rFonts w:cs="Times New Roman"/>
        </w:rPr>
        <w:tab/>
      </w:r>
      <w:r w:rsidR="00B33FF5">
        <w:rPr>
          <w:rFonts w:cs="Times New Roman"/>
        </w:rPr>
        <w:t>É impossível superestimar a correção e importância da passagem citada acima. O ponto central encontra-se na correta compreensão de que a dinâmica econômica de uma cidade polo fornecedora de serviços encontra-se umbilicalmente ligada à dinâmica de toda a região que ela polariza. Nos termos específicos da Economia Regional diz-se que “</w:t>
      </w:r>
      <w:r w:rsidR="00DE4D5C">
        <w:rPr>
          <w:rFonts w:cs="Times New Roman"/>
        </w:rPr>
        <w:t xml:space="preserve">a relação entre </w:t>
      </w:r>
      <w:r w:rsidR="00B33FF5">
        <w:rPr>
          <w:rFonts w:cs="Times New Roman"/>
        </w:rPr>
        <w:t xml:space="preserve">um polo fornecedor de serviços </w:t>
      </w:r>
      <w:r w:rsidR="00DE4D5C">
        <w:rPr>
          <w:rFonts w:cs="Times New Roman"/>
        </w:rPr>
        <w:t>e os município</w:t>
      </w:r>
      <w:r w:rsidR="00FA3453">
        <w:rPr>
          <w:rFonts w:cs="Times New Roman"/>
        </w:rPr>
        <w:t>s</w:t>
      </w:r>
      <w:r w:rsidR="00DE4D5C">
        <w:rPr>
          <w:rFonts w:cs="Times New Roman"/>
        </w:rPr>
        <w:t xml:space="preserve"> satélites não é de hegemonia pura, mas de dupla e recíproca dependência: o crescimento econômico do polo é função do crescimento da demanda pelos serviços que ele fornece o que, por sua vez, é função do crescimento global da atividade econômica na periferia”. </w:t>
      </w:r>
    </w:p>
    <w:p w14:paraId="17D70064" w14:textId="28467627" w:rsidR="00B95D03" w:rsidRDefault="00DE4D5C" w:rsidP="00BE1ABB">
      <w:pPr>
        <w:widowControl w:val="0"/>
        <w:autoSpaceDE w:val="0"/>
        <w:autoSpaceDN w:val="0"/>
        <w:adjustRightInd w:val="0"/>
        <w:spacing w:after="120"/>
        <w:ind w:firstLine="709"/>
        <w:contextualSpacing/>
        <w:rPr>
          <w:rFonts w:cs="Times New Roman"/>
        </w:rPr>
      </w:pPr>
      <w:r>
        <w:rPr>
          <w:rFonts w:cs="Times New Roman"/>
        </w:rPr>
        <w:tab/>
        <w:t xml:space="preserve">Como praticamente tudo em Economia, a assertiva final do parágrafo acima não se impõe de forma simples, mas é sujeita a inúmeras mediações. De forma particular, um polo urbano fornecedor de serviços pode crescer a taxas superiores às economias periféricas desde que: 1) a melhoria da qualidade dos serviços fornecidos pelo polo induza a uma depressão econômica das atividades de serviço na periferia com ganhos de participação relativa do polo neste </w:t>
      </w:r>
      <w:r w:rsidR="00FA3453">
        <w:rPr>
          <w:rFonts w:cs="Times New Roman"/>
        </w:rPr>
        <w:t>macro setor</w:t>
      </w:r>
      <w:r>
        <w:rPr>
          <w:rFonts w:cs="Times New Roman"/>
        </w:rPr>
        <w:t xml:space="preserve">; 2) o município polo amplie a área </w:t>
      </w:r>
      <w:r w:rsidR="00437320">
        <w:rPr>
          <w:rFonts w:cs="Times New Roman"/>
        </w:rPr>
        <w:t xml:space="preserve">e o número de municípios </w:t>
      </w:r>
      <w:r>
        <w:rPr>
          <w:rFonts w:cs="Times New Roman"/>
        </w:rPr>
        <w:t>sobre a qual exerce sua</w:t>
      </w:r>
      <w:r w:rsidR="00437320">
        <w:rPr>
          <w:rFonts w:cs="Times New Roman"/>
        </w:rPr>
        <w:t xml:space="preserve"> função de atração, retirando expressão relativa de</w:t>
      </w:r>
      <w:r>
        <w:rPr>
          <w:rFonts w:cs="Times New Roman"/>
        </w:rPr>
        <w:t xml:space="preserve"> polos secundários </w:t>
      </w:r>
      <w:r w:rsidR="00437320">
        <w:rPr>
          <w:rFonts w:cs="Times New Roman"/>
        </w:rPr>
        <w:t xml:space="preserve">enquanto fornecedores de serviços sofisticados que atuam na mesma região. Em suma: ou o crescimento do polo é solidário à região que ele polariza – o que significa ser estimulador do e corresponsável pelo crescimento dos municípios satélites em suas áreas específicas (em especial, no caso de Maringá, a produção agropecuária e agroindustrial) -, ou o município polo cresce acima da média qualificando seu sistema de serviços de sorte a conquistar uma maior fatia do mercado regional no </w:t>
      </w:r>
      <w:r w:rsidR="00FA3453">
        <w:rPr>
          <w:rFonts w:cs="Times New Roman"/>
        </w:rPr>
        <w:t>macro setor</w:t>
      </w:r>
      <w:r w:rsidR="00437320">
        <w:rPr>
          <w:rFonts w:cs="Times New Roman"/>
        </w:rPr>
        <w:t xml:space="preserve"> em detrimento dos sistemas de serviços dos municípios menores. </w:t>
      </w:r>
    </w:p>
    <w:p w14:paraId="7F5BEBAB" w14:textId="3E2559E5" w:rsidR="00DE4D5C" w:rsidRDefault="00437320" w:rsidP="00BE1ABB">
      <w:pPr>
        <w:widowControl w:val="0"/>
        <w:autoSpaceDE w:val="0"/>
        <w:autoSpaceDN w:val="0"/>
        <w:adjustRightInd w:val="0"/>
        <w:spacing w:after="120"/>
        <w:ind w:firstLine="709"/>
        <w:contextualSpacing/>
        <w:rPr>
          <w:rFonts w:cs="Times New Roman"/>
        </w:rPr>
      </w:pPr>
      <w:r>
        <w:rPr>
          <w:rFonts w:cs="Times New Roman"/>
        </w:rPr>
        <w:t xml:space="preserve">Tal como procuraremos demonstrar, a importância desta disjuntiva é tamanha que a estratégia de resposta à mesma, a estratégia que venha a ser privilegiada, é plena de consequências, e definirá o futuro de Maringá e da região submetida à sua influência econômica. Antes, porém, precisamos analisar a veracidade e atualidade da afirmação de que </w:t>
      </w:r>
      <w:r>
        <w:rPr>
          <w:rFonts w:cs="Times New Roman"/>
        </w:rPr>
        <w:lastRenderedPageBreak/>
        <w:t xml:space="preserve">Maringá é um polo de serviços. </w:t>
      </w:r>
      <w:r w:rsidR="00B95D03">
        <w:rPr>
          <w:rFonts w:cs="Times New Roman"/>
        </w:rPr>
        <w:t>Para tanto, calculamos o indicador de especialização de Maringá em distintos setores e subsetores. O indicador de especialização eleito é o Quociente Locacional (QL). Ele resulta da razão entre duas percentagens: a percentagem da população ocupada num setor qualquer em Maringá (com relação à população ocupada total) é dividida pela percentagem da população ocupada no mesmo setor no Paraná</w:t>
      </w:r>
      <w:r w:rsidR="00B95D03">
        <w:rPr>
          <w:rStyle w:val="Refdenotaderodap"/>
          <w:rFonts w:cs="Times New Roman"/>
        </w:rPr>
        <w:footnoteReference w:id="1"/>
      </w:r>
      <w:r w:rsidR="00B95D03">
        <w:rPr>
          <w:rFonts w:cs="Times New Roman"/>
        </w:rPr>
        <w:t xml:space="preserve">. A vantagem deste indicador é que ele pode ser aplicado para qualquer município independentemente de seu tamanho; pois a percentagem que é tomada como numerador diz respeito ao </w:t>
      </w:r>
      <w:r w:rsidR="00B95D03" w:rsidRPr="00B95D03">
        <w:rPr>
          <w:rFonts w:cs="Times New Roman"/>
          <w:b/>
        </w:rPr>
        <w:t>seu</w:t>
      </w:r>
      <w:r w:rsidR="00B95D03">
        <w:rPr>
          <w:rFonts w:cs="Times New Roman"/>
        </w:rPr>
        <w:t xml:space="preserve"> emprego total. Se o município tem, no total, apenas 100 empregados formais, 10 empregados em um segmento qualquer correspondem a 10%; se outro município conta com 10.000 empregados no total, para obter a mesma percentagem teria que ter 1.000 empregados no setor. E ambos </w:t>
      </w:r>
      <w:r w:rsidR="00E2019F">
        <w:rPr>
          <w:rFonts w:cs="Times New Roman"/>
        </w:rPr>
        <w:t xml:space="preserve">serão comparados à percentagem do Paraná. Imaginemos que, neste mesmo setor, o Paraná ocupe apenas 5% da população total. Neste caso, um município que conte com 10% de ocupados é duas vezes mais especializado, duas vezes mais “dedicado” a esta atividade do que, em média, é o Paraná. Esta especialização </w:t>
      </w:r>
      <w:r w:rsidR="00FA3453">
        <w:rPr>
          <w:rFonts w:cs="Times New Roman"/>
        </w:rPr>
        <w:t xml:space="preserve">se </w:t>
      </w:r>
      <w:r w:rsidR="00E2019F">
        <w:rPr>
          <w:rFonts w:cs="Times New Roman"/>
        </w:rPr>
        <w:t xml:space="preserve">expressa no QL = 10% ÷ 5% = 2. Se, alternativamente, a percentagem da população ocupada nesta atividade no Paraná for de 20%, o QL será menor do que a unidade. Mais exatamente, QL = 10% ÷ 20% = 0,5. Caso o território foco (o município) e o território de referência (o Paraná) apresentarem, ambos, a mesma percentagem de ocupados (ambos 10%), o QL será igual à unidade. </w:t>
      </w:r>
      <w:proofErr w:type="spellStart"/>
      <w:r w:rsidR="00E2019F">
        <w:rPr>
          <w:rFonts w:cs="Times New Roman"/>
        </w:rPr>
        <w:t>QLs</w:t>
      </w:r>
      <w:proofErr w:type="spellEnd"/>
      <w:r w:rsidR="00E2019F">
        <w:rPr>
          <w:rFonts w:cs="Times New Roman"/>
        </w:rPr>
        <w:t xml:space="preserve"> superiores à unidade revelam especialização; inferiores à unidade, </w:t>
      </w:r>
      <w:proofErr w:type="spellStart"/>
      <w:r w:rsidR="00E2019F">
        <w:rPr>
          <w:rFonts w:cs="Times New Roman"/>
        </w:rPr>
        <w:t>sub</w:t>
      </w:r>
      <w:r w:rsidR="006173A7">
        <w:rPr>
          <w:rFonts w:cs="Times New Roman"/>
        </w:rPr>
        <w:t>especialização</w:t>
      </w:r>
      <w:proofErr w:type="spellEnd"/>
      <w:r w:rsidR="006173A7">
        <w:rPr>
          <w:rFonts w:cs="Times New Roman"/>
        </w:rPr>
        <w:t>; próximos da unidade, normalidade e adequação ao padrão da macrorregião.</w:t>
      </w:r>
    </w:p>
    <w:p w14:paraId="23DD77EE" w14:textId="0B51169D" w:rsidR="0069072B" w:rsidRPr="000D6151" w:rsidRDefault="006173A7" w:rsidP="00BE1ABB">
      <w:pPr>
        <w:widowControl w:val="0"/>
        <w:autoSpaceDE w:val="0"/>
        <w:autoSpaceDN w:val="0"/>
        <w:adjustRightInd w:val="0"/>
        <w:spacing w:after="120"/>
        <w:ind w:firstLine="709"/>
        <w:contextualSpacing/>
        <w:rPr>
          <w:rFonts w:cs="Times New Roman"/>
        </w:rPr>
      </w:pPr>
      <w:r>
        <w:rPr>
          <w:rFonts w:cs="Times New Roman"/>
        </w:rPr>
        <w:tab/>
        <w:t xml:space="preserve">O mais importante de tudo, porém, é a interpretação deste indicador: em Economia Regional a especialização é uma medida de “exportação”. A ideia é simples: o principal mercado de um grande território (como o Paraná e o Brasil, por exemplo) é o mercado interno. Assim, pode-se supor que o grau de dedicação a uma certa atividade na macrorregião é a dedicação “normal”, capaz de atender a demanda dos domiciliados. Se a especialização de um território qualquer </w:t>
      </w:r>
      <w:r w:rsidR="00FA3453">
        <w:rPr>
          <w:rFonts w:cs="Times New Roman"/>
        </w:rPr>
        <w:t>se encontra</w:t>
      </w:r>
      <w:r>
        <w:rPr>
          <w:rFonts w:cs="Times New Roman"/>
        </w:rPr>
        <w:t xml:space="preserve"> acima da média é porque o mesmo </w:t>
      </w:r>
      <w:r w:rsidR="000D6151">
        <w:rPr>
          <w:rFonts w:cs="Times New Roman"/>
        </w:rPr>
        <w:t xml:space="preserve">não </w:t>
      </w:r>
      <w:r>
        <w:rPr>
          <w:rFonts w:cs="Times New Roman"/>
        </w:rPr>
        <w:t>atende a</w:t>
      </w:r>
      <w:r w:rsidR="000D6151">
        <w:rPr>
          <w:rFonts w:cs="Times New Roman"/>
        </w:rPr>
        <w:t>penas à demanda interna, mas, igualmente bem dedica parte da produção ao atendimento de uma demanda que lhe é externa</w:t>
      </w:r>
      <w:r w:rsidR="000D6151">
        <w:rPr>
          <w:rStyle w:val="Refdenotaderodap"/>
          <w:rFonts w:cs="Times New Roman"/>
        </w:rPr>
        <w:footnoteReference w:id="2"/>
      </w:r>
      <w:r w:rsidR="000D6151">
        <w:rPr>
          <w:rFonts w:cs="Times New Roman"/>
        </w:rPr>
        <w:t xml:space="preserve">. </w:t>
      </w:r>
      <w:r>
        <w:rPr>
          <w:rFonts w:cs="Times New Roman"/>
        </w:rPr>
        <w:t xml:space="preserve"> </w:t>
      </w:r>
      <w:r w:rsidR="000D6151">
        <w:rPr>
          <w:rFonts w:cs="Times New Roman"/>
        </w:rPr>
        <w:t xml:space="preserve">Posto isto, podemos passar à análise do quadro de especialização </w:t>
      </w:r>
      <w:r w:rsidR="000D6151">
        <w:rPr>
          <w:rFonts w:cs="Times New Roman"/>
        </w:rPr>
        <w:lastRenderedPageBreak/>
        <w:t xml:space="preserve">setorial de Maringá. Nossa base de dados é a Relação Anual de Informações Sociais (RAIS) do Ministério do Trabalho e Emprego do ano de 2017. Ela nos fornece apenas informações sobre emprego formal (carteira assinada, funcionários públicos e microempreendedores individuais). </w:t>
      </w:r>
    </w:p>
    <w:p w14:paraId="024E9E43" w14:textId="58EF3AE2" w:rsidR="0069072B" w:rsidRPr="009E745D" w:rsidRDefault="009D51A5" w:rsidP="009E745D">
      <w:pPr>
        <w:spacing w:after="120"/>
        <w:contextualSpacing/>
        <w:jc w:val="center"/>
        <w:rPr>
          <w:b/>
        </w:rPr>
      </w:pPr>
      <w:r w:rsidRPr="009E745D">
        <w:rPr>
          <w:b/>
        </w:rPr>
        <w:t xml:space="preserve">Quadro 1: </w:t>
      </w:r>
      <w:r w:rsidR="000D6151" w:rsidRPr="009E745D">
        <w:rPr>
          <w:b/>
        </w:rPr>
        <w:t>Estrutura do Emprego e Especialização Produtiva de Maringá</w:t>
      </w:r>
    </w:p>
    <w:p w14:paraId="1D1A17AE" w14:textId="77777777" w:rsidR="0069072B" w:rsidRDefault="0069072B" w:rsidP="009E745D">
      <w:pPr>
        <w:spacing w:after="120"/>
        <w:contextualSpacing/>
        <w:jc w:val="center"/>
      </w:pPr>
      <w:r w:rsidRPr="0069072B">
        <w:rPr>
          <w:noProof/>
          <w:lang w:val="en-US"/>
        </w:rPr>
        <w:drawing>
          <wp:inline distT="0" distB="0" distL="0" distR="0" wp14:anchorId="0D0B2F8E" wp14:editId="012C0DB1">
            <wp:extent cx="5844369" cy="32640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169" cy="326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99AAB" w14:textId="0AAEDBAD" w:rsidR="000D6151" w:rsidRPr="00CB28E0" w:rsidRDefault="000D6151" w:rsidP="009E745D">
      <w:pPr>
        <w:spacing w:after="120"/>
        <w:contextualSpacing/>
        <w:rPr>
          <w:sz w:val="20"/>
          <w:szCs w:val="20"/>
        </w:rPr>
      </w:pPr>
      <w:r w:rsidRPr="00CB28E0">
        <w:rPr>
          <w:sz w:val="20"/>
          <w:szCs w:val="20"/>
        </w:rPr>
        <w:t>FDB: RAIS-MTE-2017. Os indicadores foram calculados pelos autores do texto</w:t>
      </w:r>
    </w:p>
    <w:p w14:paraId="256E85D5" w14:textId="41AE782A" w:rsidR="00BE0E54" w:rsidRDefault="000D6151" w:rsidP="00BE1ABB">
      <w:pPr>
        <w:spacing w:after="120"/>
        <w:ind w:firstLine="709"/>
        <w:contextualSpacing/>
      </w:pPr>
      <w:r>
        <w:tab/>
        <w:t xml:space="preserve">Ora, dadas as informações anteriores, a análise do quadro acima </w:t>
      </w:r>
      <w:r w:rsidR="00FA3453">
        <w:t xml:space="preserve">se </w:t>
      </w:r>
      <w:r>
        <w:t>torna t</w:t>
      </w:r>
      <w:r w:rsidR="00C00E4C">
        <w:t>rivial. Ele nos diz que Maringá é subespecializada na produção agropecuária, o que significa dizer que o município é um importador líquido de alimentos. Em segundo lugar, ela nos diz que, tomando de forma agregada, Maringá não é mais industrializad</w:t>
      </w:r>
      <w:r w:rsidR="00FA3453">
        <w:t>a</w:t>
      </w:r>
      <w:r w:rsidR="00C00E4C">
        <w:t xml:space="preserve"> que o Paraná: o QL da Indústria tomada como um todo é de 0,9797, correspondendo </w:t>
      </w:r>
      <w:r w:rsidR="009E745D">
        <w:t>aproximadamente</w:t>
      </w:r>
      <w:r w:rsidR="00C00E4C">
        <w:t xml:space="preserve"> à unida</w:t>
      </w:r>
      <w:r w:rsidR="009E745D">
        <w:t>d</w:t>
      </w:r>
      <w:r w:rsidR="00C00E4C">
        <w:t>e. É bem verdade que há dois segmentos da ind</w:t>
      </w:r>
      <w:r w:rsidR="009E745D">
        <w:t>úst</w:t>
      </w:r>
      <w:r w:rsidR="00C00E4C">
        <w:t>r</w:t>
      </w:r>
      <w:r w:rsidR="009E745D">
        <w:t>i</w:t>
      </w:r>
      <w:r w:rsidR="00C00E4C">
        <w:t>a em que Maringá apresenta uma especialização não desprezível: Vestuário e Calçados, com QL de 1,25; e Construção Civil, com QL de 1,39. Vale observar ainda que, a despeito da Agroindústria apresentar um QL discretamente abaixo da unidade (0,97)</w:t>
      </w:r>
      <w:r w:rsidR="009E745D">
        <w:t>,</w:t>
      </w:r>
      <w:r w:rsidR="00C00E4C">
        <w:t xml:space="preserve"> o número total de empregados na mesma é quase duas vezes o número de empregados no setor de vestuário (9.887 e 5.075, respectivamente). Igualmente bem, os demais setores da Indústria de Transformação apresentam, no total, um volume não desprezível de ocupados (pouco mais de 11 mil), o que corresponde a aproximadamente 80% </w:t>
      </w:r>
      <w:r w:rsidR="00C00E4C">
        <w:lastRenderedPageBreak/>
        <w:t>do padrão do Paraná para o conjunto das atividades ali agrupadas. O subsetor da indústria que reduz o QL médio de Maringá é o segmento de Serviços Industriais de Utilidade Pública (energia elétrica, telefonia, Distribuição de Gás, Água, etc.), um segmento altamente dependente de</w:t>
      </w:r>
      <w:r w:rsidR="00BE0E54">
        <w:t xml:space="preserve"> investimentos públicos e da disponibilidade de recursos naturais (hídricos, eólicos, minerais, etc.). </w:t>
      </w:r>
    </w:p>
    <w:p w14:paraId="65EA5B8C" w14:textId="6AE1763C" w:rsidR="000D6151" w:rsidRDefault="00BE0E54" w:rsidP="00BE1ABB">
      <w:pPr>
        <w:spacing w:after="120"/>
        <w:ind w:firstLine="709"/>
        <w:contextualSpacing/>
      </w:pPr>
      <w:r>
        <w:t xml:space="preserve">Por oposição à agropecuária e à indústria, seja no plano agregado, seja em cada um dos setores classificados, o segmento de Serviços apresenta um QL significativamente superior à unidade. Em termos agregados, o QL é de 1,2 (próximo ao QL da Indústria do Vestuário). No que tange às subclasses, destacam-se os segmentos de Educação (QL de 1,77), Transporte e Logística (1,33) e Saúde (1,26). </w:t>
      </w:r>
    </w:p>
    <w:p w14:paraId="693ED237" w14:textId="77777777" w:rsidR="00476E9F" w:rsidRDefault="001C5714" w:rsidP="00476E9F">
      <w:pPr>
        <w:spacing w:after="120"/>
        <w:ind w:firstLine="709"/>
        <w:contextualSpacing/>
        <w:rPr>
          <w:b/>
        </w:rPr>
      </w:pPr>
      <w:r>
        <w:t>Surpreendentemente, contudo, o quadro acima parece indicar que Maringá não chega a apresentar uma especialização significativa em Comércio ou em Serviços Prestados às Famílias e Empresas (ambos com QL de 1,12). N</w:t>
      </w:r>
      <w:r w:rsidR="00B90EC4">
        <w:t>ão obstante, esta avaliação</w:t>
      </w:r>
      <w:r w:rsidR="009D51A5">
        <w:t xml:space="preserve"> preliminar comporta um equívoco</w:t>
      </w:r>
      <w:r w:rsidR="00B90EC4">
        <w:t>. Para que se entenda este ponto é preciso entender que a medida de especialização toma por referência o número total de empregados (formalmente ocupados) em Maringá. Mas parcela expressiva destes ocupados não é domiciliada em M</w:t>
      </w:r>
      <w:r w:rsidR="009D51A5">
        <w:t xml:space="preserve">aringá. A questão é que </w:t>
      </w:r>
      <w:r w:rsidR="00B61D3C">
        <w:t>a polarização</w:t>
      </w:r>
      <w:r w:rsidR="009D51A5">
        <w:t xml:space="preserve"> de Maringá sobre os</w:t>
      </w:r>
      <w:r w:rsidR="00B61D3C">
        <w:t xml:space="preserve"> municípios </w:t>
      </w:r>
      <w:r w:rsidR="009D51A5">
        <w:t xml:space="preserve">que a </w:t>
      </w:r>
      <w:proofErr w:type="spellStart"/>
      <w:r w:rsidR="009D51A5">
        <w:t>satelizam</w:t>
      </w:r>
      <w:proofErr w:type="spellEnd"/>
      <w:r w:rsidR="009D51A5">
        <w:t xml:space="preserve"> </w:t>
      </w:r>
      <w:r w:rsidR="00B61D3C">
        <w:t xml:space="preserve">não se realiza apenas pela oferta de serviços: ela também se dá pela transformação dos municípios do entorno em fornecedores </w:t>
      </w:r>
      <w:r w:rsidR="009D51A5">
        <w:t xml:space="preserve">líquidos </w:t>
      </w:r>
      <w:r w:rsidR="00B61D3C">
        <w:t>de mão-de-obra. Em alguns casos – como Sarandi, por exemplo – esta relação já se traduz na clara transformação do últim</w:t>
      </w:r>
      <w:r w:rsidR="009D51A5">
        <w:t xml:space="preserve">o em “cidade-dormitório”, com uma expressão econômico-produtiva significativamente inferior ao que seria de se esperar se tomamos por referência a população domiciliada. No Quadro 2, abaixo, trazemos algumas evidências desta relação. A construção do Quadro tomou por referência os </w:t>
      </w:r>
      <w:r w:rsidR="00363BC5">
        <w:t xml:space="preserve">treze </w:t>
      </w:r>
      <w:r w:rsidR="009D51A5">
        <w:t xml:space="preserve">municípios </w:t>
      </w:r>
      <w:r w:rsidR="0069376D">
        <w:t xml:space="preserve">listados no </w:t>
      </w:r>
      <w:r w:rsidR="0069376D" w:rsidRPr="0069376D">
        <w:rPr>
          <w:b/>
        </w:rPr>
        <w:t>“Anuário de Economia 2018-2019 da Grande Região de Maringá”</w:t>
      </w:r>
      <w:r w:rsidR="00A71DAF">
        <w:rPr>
          <w:b/>
        </w:rPr>
        <w:t xml:space="preserve"> (doravante, GRM)</w:t>
      </w:r>
      <w:r w:rsidR="00327F9D">
        <w:rPr>
          <w:b/>
        </w:rPr>
        <w:t xml:space="preserve">. </w:t>
      </w:r>
    </w:p>
    <w:p w14:paraId="46A7C3E0" w14:textId="17D69A2D" w:rsidR="00F05808" w:rsidRDefault="00476E9F" w:rsidP="00476E9F">
      <w:pPr>
        <w:spacing w:after="120"/>
        <w:ind w:firstLine="709"/>
        <w:contextualSpacing/>
        <w:rPr>
          <w:b/>
        </w:rPr>
      </w:pPr>
      <w:r>
        <w:t xml:space="preserve">O Quadro 2, abaixo, está baseado em duas informações e no cruzamento das mesmas: população domiciliada (estimada pelo IBGE) e população formalmente empregada (informada pelo Ministério do Trabalho e do Emprego). A primeira coluna especifica o território para o qual a informação está referida. Na quarta coluna é feito o primeiro cruzamento das duas informações anteriores: com a divisão do número de ocupados pela população, encontra-se a “Taxa Aparente de Ocupação”. Esta taxa é “aparente” em dois sentidos. Em primeiro lugar, porque ela está referida apenas à ocupação formal. E, no Brasil, </w:t>
      </w:r>
      <w:r>
        <w:lastRenderedPageBreak/>
        <w:t xml:space="preserve">para cada ocupação formal há, em média, uma pessoa ocupada informalmente; de sorte que a taxa </w:t>
      </w:r>
      <w:r w:rsidRPr="00B51AA6">
        <w:rPr>
          <w:b/>
        </w:rPr>
        <w:t>real</w:t>
      </w:r>
      <w:r>
        <w:rPr>
          <w:b/>
        </w:rPr>
        <w:t xml:space="preserve"> </w:t>
      </w:r>
      <w:r>
        <w:t>de ocupação é muito maior. Mas isto não é tudo.</w:t>
      </w:r>
    </w:p>
    <w:p w14:paraId="0E2A10E6" w14:textId="77777777" w:rsidR="00476E9F" w:rsidRDefault="00476E9F" w:rsidP="00476E9F">
      <w:pPr>
        <w:spacing w:after="120"/>
        <w:ind w:firstLine="709"/>
        <w:contextualSpacing/>
        <w:rPr>
          <w:b/>
        </w:rPr>
      </w:pPr>
    </w:p>
    <w:p w14:paraId="6AC6FEE5" w14:textId="62F0B049" w:rsidR="000D6151" w:rsidRPr="009D51A5" w:rsidRDefault="009D51A5" w:rsidP="00F05808">
      <w:pPr>
        <w:spacing w:after="120"/>
        <w:contextualSpacing/>
        <w:jc w:val="center"/>
        <w:rPr>
          <w:b/>
          <w:sz w:val="28"/>
          <w:szCs w:val="28"/>
        </w:rPr>
      </w:pPr>
      <w:r w:rsidRPr="00205A67">
        <w:rPr>
          <w:b/>
        </w:rPr>
        <w:t>Quadro 2: População, Ocupação Formal e Taxa Aparente</w:t>
      </w:r>
      <w:r w:rsidR="00205A67">
        <w:rPr>
          <w:b/>
        </w:rPr>
        <w:t xml:space="preserve"> </w:t>
      </w:r>
      <w:r w:rsidRPr="00205A67">
        <w:rPr>
          <w:b/>
        </w:rPr>
        <w:t>de Ocupação dos D</w:t>
      </w:r>
      <w:r w:rsidR="00A71DAF" w:rsidRPr="00205A67">
        <w:rPr>
          <w:b/>
        </w:rPr>
        <w:t>omiciliados na Grande Região de Maringá (GRM)</w:t>
      </w: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2220"/>
        <w:gridCol w:w="1316"/>
        <w:gridCol w:w="1300"/>
        <w:gridCol w:w="1158"/>
        <w:gridCol w:w="760"/>
        <w:gridCol w:w="900"/>
      </w:tblGrid>
      <w:tr w:rsidR="0067143C" w:rsidRPr="0067143C" w14:paraId="61FEC539" w14:textId="77777777" w:rsidTr="0067143C">
        <w:trPr>
          <w:trHeight w:val="276"/>
          <w:jc w:val="center"/>
        </w:trPr>
        <w:tc>
          <w:tcPr>
            <w:tcW w:w="22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18DD5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Território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B178B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Estimativa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3104F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Ocupação Formal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54DE4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Tx</w:t>
            </w:r>
            <w:proofErr w:type="spellEnd"/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. </w:t>
            </w:r>
            <w:proofErr w:type="spellStart"/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Apar</w:t>
            </w:r>
            <w:proofErr w:type="spellEnd"/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. Ocupação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9D73A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QL-PR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62BD23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QL-GRM</w:t>
            </w:r>
          </w:p>
        </w:tc>
      </w:tr>
      <w:tr w:rsidR="0067143C" w:rsidRPr="0067143C" w14:paraId="6490F949" w14:textId="77777777" w:rsidTr="0067143C">
        <w:trPr>
          <w:trHeight w:val="280"/>
          <w:jc w:val="center"/>
        </w:trPr>
        <w:tc>
          <w:tcPr>
            <w:tcW w:w="22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E10FED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2CA003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3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034D50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B9AEB6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703BE2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B616AF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</w:p>
        </w:tc>
      </w:tr>
      <w:tr w:rsidR="0067143C" w:rsidRPr="0067143C" w14:paraId="689FAC6A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84AD3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Brasil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55C5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207.660.929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4D98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46.281.590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90B0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22,29%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AB34A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0,833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3CE166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0,742</w:t>
            </w:r>
          </w:p>
        </w:tc>
      </w:tr>
      <w:tr w:rsidR="0067143C" w:rsidRPr="0067143C" w14:paraId="759707E3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65EB6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Paraná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C3DCB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11.320.892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47C6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3.028.192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D4527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26,75%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2DB49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1,000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A34B92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0,890</w:t>
            </w:r>
          </w:p>
        </w:tc>
      </w:tr>
      <w:tr w:rsidR="0067143C" w:rsidRPr="0067143C" w14:paraId="716ACC71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6863A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Meso</w:t>
            </w:r>
            <w:proofErr w:type="spellEnd"/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Norte Central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352B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2.228.516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5AC7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586.643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9248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26,32%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C1A0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0,984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3FF6C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0,876</w:t>
            </w:r>
          </w:p>
        </w:tc>
      </w:tr>
      <w:tr w:rsidR="0067143C" w:rsidRPr="0067143C" w14:paraId="69231CF6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1EEB5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proofErr w:type="spellStart"/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Reg</w:t>
            </w:r>
            <w:proofErr w:type="spellEnd"/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Metrop</w:t>
            </w:r>
            <w:proofErr w:type="spellEnd"/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Maringá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5FB4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799.191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874F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227.616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B28D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28,48%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47E53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1,065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BF0B59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0,948</w:t>
            </w:r>
          </w:p>
        </w:tc>
      </w:tr>
      <w:tr w:rsidR="0067143C" w:rsidRPr="0067143C" w14:paraId="2C0A69B1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AFC16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GRM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8EFD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685.627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6631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206.009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C2DF4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30,05%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E6C6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1,123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30FA99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1,000</w:t>
            </w:r>
          </w:p>
        </w:tc>
      </w:tr>
      <w:tr w:rsidR="0067143C" w:rsidRPr="0067143C" w14:paraId="5160AC01" w14:textId="77777777" w:rsidTr="0067143C">
        <w:trPr>
          <w:trHeight w:val="2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5884A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Maringá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5952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406.693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181D8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156.175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F1A68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38,40%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C093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1,436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6CBB77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1,278</w:t>
            </w:r>
          </w:p>
        </w:tc>
      </w:tr>
      <w:tr w:rsidR="0067143C" w:rsidRPr="0067143C" w14:paraId="40E760E0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39229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 xml:space="preserve">Ângulo  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E2AB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2.974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A7AA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535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142D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17,99%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1E015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0,673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E6862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0,599</w:t>
            </w:r>
          </w:p>
        </w:tc>
      </w:tr>
      <w:tr w:rsidR="0067143C" w:rsidRPr="0067143C" w14:paraId="4728F7D6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C5316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 xml:space="preserve">Astorga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C2113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26.196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DA493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5.691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90F8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21,72%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2D59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0,812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FD6C1A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0,723</w:t>
            </w:r>
          </w:p>
        </w:tc>
      </w:tr>
      <w:tr w:rsidR="0067143C" w:rsidRPr="0067143C" w14:paraId="2E873EEF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8B725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 xml:space="preserve">Doutor Camargo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B739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6.069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C2B3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756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2152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12,46%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2DE4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0,466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315B46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0,415</w:t>
            </w:r>
          </w:p>
        </w:tc>
      </w:tr>
      <w:tr w:rsidR="0067143C" w:rsidRPr="0067143C" w14:paraId="33F53B70" w14:textId="77777777" w:rsidTr="0067143C">
        <w:trPr>
          <w:trHeight w:val="3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861AA3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 xml:space="preserve">Floresta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8A173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6.603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6A87F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1.108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E34E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16,78%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1900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0,627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6F03E4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0,558</w:t>
            </w:r>
          </w:p>
        </w:tc>
      </w:tr>
      <w:tr w:rsidR="0067143C" w:rsidRPr="0067143C" w14:paraId="46233EDB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60A08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67143C">
              <w:rPr>
                <w:rFonts w:eastAsia="Times New Roman" w:cs="Times New Roman"/>
                <w:sz w:val="22"/>
                <w:szCs w:val="22"/>
              </w:rPr>
              <w:t>Iguaraçu</w:t>
            </w:r>
            <w:proofErr w:type="spellEnd"/>
            <w:r w:rsidRPr="0067143C">
              <w:rPr>
                <w:rFonts w:eastAsia="Times New Roman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C6A6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4.343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9DCF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993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2B6F5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22,86%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CE04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0,855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9306B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0,761</w:t>
            </w:r>
          </w:p>
        </w:tc>
      </w:tr>
      <w:tr w:rsidR="0067143C" w:rsidRPr="0067143C" w14:paraId="4F24FF95" w14:textId="77777777" w:rsidTr="0067143C">
        <w:trPr>
          <w:trHeight w:val="3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F240F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67143C">
              <w:rPr>
                <w:rFonts w:eastAsia="Times New Roman" w:cs="Times New Roman"/>
                <w:sz w:val="22"/>
                <w:szCs w:val="22"/>
              </w:rPr>
              <w:t>Ivatuba</w:t>
            </w:r>
            <w:proofErr w:type="spellEnd"/>
            <w:r w:rsidRPr="0067143C">
              <w:rPr>
                <w:rFonts w:eastAsia="Times New Roman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73EC0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3.240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036D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743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1E7F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22,93%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ED4A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0,857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8D132A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0,763</w:t>
            </w:r>
          </w:p>
        </w:tc>
      </w:tr>
      <w:tr w:rsidR="0067143C" w:rsidRPr="0067143C" w14:paraId="5CFC144C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DE25A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 xml:space="preserve">Mandaguaçu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6DC3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22.164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AE3A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3.928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4BF7D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17,72%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2DEC6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0,663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B92CE4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0,590</w:t>
            </w:r>
          </w:p>
        </w:tc>
      </w:tr>
      <w:tr w:rsidR="0067143C" w:rsidRPr="0067143C" w14:paraId="37A2642E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38FE9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 xml:space="preserve">Mandaguari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B17E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34.559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EC10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10.199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211FB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29,51%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A0DF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1,103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109149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0,982</w:t>
            </w:r>
          </w:p>
        </w:tc>
      </w:tr>
      <w:tr w:rsidR="0067143C" w:rsidRPr="0067143C" w14:paraId="6E0D5E02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9F733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 xml:space="preserve">Marialva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4C1A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34.955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D3C90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7.969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94638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22,80%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78705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0,852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0398E5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0,759</w:t>
            </w:r>
          </w:p>
        </w:tc>
      </w:tr>
      <w:tr w:rsidR="0067143C" w:rsidRPr="0067143C" w14:paraId="71E4C631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C643F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proofErr w:type="spellStart"/>
            <w:r w:rsidRPr="0067143C">
              <w:rPr>
                <w:rFonts w:eastAsia="Times New Roman" w:cs="Times New Roman"/>
                <w:sz w:val="22"/>
                <w:szCs w:val="22"/>
              </w:rPr>
              <w:t>Ourizona</w:t>
            </w:r>
            <w:proofErr w:type="spellEnd"/>
            <w:r w:rsidRPr="0067143C">
              <w:rPr>
                <w:rFonts w:eastAsia="Times New Roman" w:cs="Times New Roman"/>
                <w:sz w:val="22"/>
                <w:szCs w:val="22"/>
              </w:rPr>
              <w:t xml:space="preserve">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E7F8E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3.494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04D0B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407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86C66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11,65%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50E1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0,435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F2C10B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0,388</w:t>
            </w:r>
          </w:p>
        </w:tc>
      </w:tr>
      <w:tr w:rsidR="0067143C" w:rsidRPr="0067143C" w14:paraId="14B79929" w14:textId="77777777" w:rsidTr="0067143C">
        <w:trPr>
          <w:trHeight w:val="26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44819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 xml:space="preserve">Paiçandu 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EE27E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40.156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B58C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5.731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710E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14,27%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624F1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0,534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D40459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0,475</w:t>
            </w:r>
          </w:p>
        </w:tc>
      </w:tr>
      <w:tr w:rsidR="0067143C" w:rsidRPr="0067143C" w14:paraId="40A9ED52" w14:textId="77777777" w:rsidTr="0067143C">
        <w:trPr>
          <w:trHeight w:val="280"/>
          <w:jc w:val="center"/>
        </w:trPr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7B70AA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 xml:space="preserve">Sarandi 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217F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94.181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C2A7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11.774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5F60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12,50%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ED67F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0,467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1779D7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2"/>
                <w:szCs w:val="22"/>
              </w:rPr>
            </w:pPr>
            <w:r w:rsidRPr="0067143C">
              <w:rPr>
                <w:rFonts w:eastAsia="Times New Roman" w:cs="Times New Roman"/>
                <w:sz w:val="22"/>
                <w:szCs w:val="22"/>
              </w:rPr>
              <w:t>0,416</w:t>
            </w:r>
          </w:p>
        </w:tc>
      </w:tr>
      <w:tr w:rsidR="0067143C" w:rsidRPr="0067143C" w14:paraId="141677F0" w14:textId="77777777" w:rsidTr="0067143C">
        <w:trPr>
          <w:trHeight w:val="280"/>
          <w:jc w:val="center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22FD1" w14:textId="77777777" w:rsidR="0067143C" w:rsidRPr="0067143C" w:rsidRDefault="0067143C" w:rsidP="00205A67">
            <w:pPr>
              <w:spacing w:after="0" w:line="240" w:lineRule="auto"/>
              <w:contextualSpacing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GRM sem Maringá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3447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278.934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48FC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49.834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A013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17,87%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B90B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0,668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3A10F" w14:textId="77777777" w:rsidR="0067143C" w:rsidRPr="0067143C" w:rsidRDefault="0067143C" w:rsidP="00871230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2"/>
                <w:szCs w:val="22"/>
              </w:rPr>
            </w:pPr>
            <w:r w:rsidRPr="0067143C">
              <w:rPr>
                <w:rFonts w:eastAsia="Times New Roman" w:cs="Times New Roman"/>
                <w:b/>
                <w:bCs/>
                <w:sz w:val="22"/>
                <w:szCs w:val="22"/>
              </w:rPr>
              <w:t>0,595</w:t>
            </w:r>
          </w:p>
        </w:tc>
      </w:tr>
    </w:tbl>
    <w:p w14:paraId="635F9BD6" w14:textId="7357F22C" w:rsidR="000D6151" w:rsidRPr="00CB28E0" w:rsidRDefault="0022261C" w:rsidP="00CB28E0">
      <w:pPr>
        <w:spacing w:after="120"/>
        <w:ind w:firstLine="709"/>
        <w:contextualSpacing/>
        <w:jc w:val="left"/>
        <w:rPr>
          <w:sz w:val="20"/>
          <w:szCs w:val="20"/>
        </w:rPr>
      </w:pPr>
      <w:r w:rsidRPr="00CB28E0">
        <w:rPr>
          <w:sz w:val="20"/>
          <w:szCs w:val="20"/>
        </w:rPr>
        <w:t>FDB: Est Pop</w:t>
      </w:r>
      <w:r w:rsidR="00327F9D" w:rsidRPr="00CB28E0">
        <w:rPr>
          <w:sz w:val="20"/>
          <w:szCs w:val="20"/>
        </w:rPr>
        <w:t xml:space="preserve"> 2017 (IBGE), RAIS-2017 (MTE). Indicadores processados pelos autores</w:t>
      </w:r>
    </w:p>
    <w:p w14:paraId="4602CC97" w14:textId="29A5D9DA" w:rsidR="00A634D3" w:rsidRDefault="00327F9D" w:rsidP="00BE1ABB">
      <w:pPr>
        <w:spacing w:after="120"/>
        <w:ind w:firstLine="709"/>
        <w:contextualSpacing/>
      </w:pPr>
      <w:r>
        <w:tab/>
      </w:r>
      <w:r w:rsidR="00B51AA6">
        <w:t xml:space="preserve">Ao tomarmos a população ocupada num município e comparar com a população domiciliada no mesmo não estamos, de fato, calculando a taxa de ocupação dos domiciliados. Pelo simples fato de que alguns dos ocupados (em Maringá, por exemplo) podem ser moradores de municípios vizinhos. E isto é muito provável. Por quê? Porque a taxa de ocupação aparente de Maringá destoa significativamente das demais. Enquanto a taxa para o Brasil é de 22,29% e para o Paraná é de 26,75%, a taxa de Maringá é de 38,4%. Simultaneamente, a </w:t>
      </w:r>
      <w:r w:rsidR="004D1223">
        <w:t xml:space="preserve">taxa </w:t>
      </w:r>
      <w:r w:rsidR="00B51AA6">
        <w:t xml:space="preserve">aparente </w:t>
      </w:r>
      <w:r w:rsidR="004D1223">
        <w:t xml:space="preserve">de ocupação </w:t>
      </w:r>
      <w:r w:rsidR="00B51AA6">
        <w:t xml:space="preserve">de Sarandi e Paiçandu (dois municípios cujas áreas urbanas encontram-se </w:t>
      </w:r>
      <w:proofErr w:type="spellStart"/>
      <w:r w:rsidR="00A634D3">
        <w:t>conurbadas</w:t>
      </w:r>
      <w:proofErr w:type="spellEnd"/>
      <w:r w:rsidR="00A634D3">
        <w:t xml:space="preserve"> à</w:t>
      </w:r>
      <w:r w:rsidR="00B51AA6">
        <w:t xml:space="preserve"> Maringá) são muito inferiores aos padrões do Brasil, do Paraná e da Região de Maringá: 12,5% e 14,27%, respectivamente</w:t>
      </w:r>
      <w:r w:rsidR="00A634D3">
        <w:rPr>
          <w:rStyle w:val="Refdenotaderodap"/>
        </w:rPr>
        <w:footnoteReference w:id="3"/>
      </w:r>
      <w:r w:rsidR="00B51AA6">
        <w:t xml:space="preserve">. </w:t>
      </w:r>
    </w:p>
    <w:p w14:paraId="15C75282" w14:textId="3CF8ED86" w:rsidR="00AE6CCD" w:rsidRDefault="00A634D3" w:rsidP="00BE1ABB">
      <w:pPr>
        <w:spacing w:after="120"/>
        <w:ind w:firstLine="709"/>
        <w:contextualSpacing/>
      </w:pPr>
      <w:r>
        <w:lastRenderedPageBreak/>
        <w:t>Ora, t</w:t>
      </w:r>
      <w:r w:rsidR="00B51AA6">
        <w:t>al como n</w:t>
      </w:r>
      <w:r>
        <w:t xml:space="preserve">a versão mais simples e paradigmática do QL – cujo cálculo volta-se à obtenção de uma “medida de especialização” -, é possível </w:t>
      </w:r>
      <w:r w:rsidR="00AE6CCD">
        <w:t xml:space="preserve">avaliar a distância da taxa aparente de ocupação de Maringá com relação à taxa média de regiões mais amplas </w:t>
      </w:r>
      <w:r w:rsidR="00B51AA6">
        <w:t xml:space="preserve">pela razão entre </w:t>
      </w:r>
      <w:r w:rsidR="00AE6CCD">
        <w:t xml:space="preserve">estas </w:t>
      </w:r>
      <w:r w:rsidR="00B51AA6">
        <w:t>duas percentagens</w:t>
      </w:r>
      <w:r w:rsidR="00AE6CCD">
        <w:t>, vale dizer</w:t>
      </w:r>
      <w:r w:rsidR="00B51AA6">
        <w:t xml:space="preserve">: a </w:t>
      </w:r>
      <w:r w:rsidR="00AE6CCD">
        <w:t xml:space="preserve">percentagem aparente </w:t>
      </w:r>
      <w:r w:rsidR="00B51AA6">
        <w:t xml:space="preserve">de ocupação de um município e a </w:t>
      </w:r>
      <w:r w:rsidR="00AE6CCD">
        <w:t>percentagem aparente d</w:t>
      </w:r>
      <w:r w:rsidR="00B51AA6">
        <w:t xml:space="preserve">a região </w:t>
      </w:r>
      <w:r w:rsidR="00AE6CCD">
        <w:t xml:space="preserve">tomada como </w:t>
      </w:r>
      <w:r w:rsidR="00B51AA6">
        <w:t>padrão</w:t>
      </w:r>
      <w:r w:rsidR="00AE6CCD">
        <w:t xml:space="preserve"> de comparação</w:t>
      </w:r>
      <w:r w:rsidR="00B51AA6">
        <w:t>. No caso</w:t>
      </w:r>
      <w:r w:rsidR="00AE6CCD">
        <w:t xml:space="preserve">, elegemos duas regiões como padrão: </w:t>
      </w:r>
      <w:r w:rsidR="00B51AA6">
        <w:t>o Paraná (na quinta coluna) e a Grande Região de Maringá (na sexta coluna). Quando se toma o Paraná, vemos que a GRM</w:t>
      </w:r>
      <w:r w:rsidR="00096D0F">
        <w:t xml:space="preserve"> (QL 1,12), Maringá (1,436) e Mandaguari (1,103) ficam acima da média. Mas enquanto a GRM e Mandaguari</w:t>
      </w:r>
      <w:r w:rsidR="00AE6CCD">
        <w:t xml:space="preserve"> estão muito próximos do padrã</w:t>
      </w:r>
      <w:r w:rsidR="00B060B9">
        <w:t>o,</w:t>
      </w:r>
      <w:r w:rsidR="00AE6CCD">
        <w:t xml:space="preserve"> </w:t>
      </w:r>
      <w:r w:rsidR="00096D0F">
        <w:t>Maringá destoa de forma significativa. Já quando se t</w:t>
      </w:r>
      <w:r w:rsidR="00AE6CCD">
        <w:t>oma a GRM como região</w:t>
      </w:r>
      <w:r w:rsidR="00096D0F">
        <w:t xml:space="preserve"> de referência, apenas Maringá encontra-se acima da média (com QL superior à unidade e igual a 1,28). </w:t>
      </w:r>
    </w:p>
    <w:p w14:paraId="1DA50E6C" w14:textId="5D44B0A8" w:rsidR="00327F9D" w:rsidRDefault="00096D0F" w:rsidP="00BE1ABB">
      <w:pPr>
        <w:spacing w:after="120"/>
        <w:ind w:firstLine="709"/>
        <w:contextualSpacing/>
      </w:pPr>
      <w:r>
        <w:t xml:space="preserve">O que isto está a indicar? Que a população maringaense é mais trabalhadora do que a dos demais municípios? Dificilmente. </w:t>
      </w:r>
      <w:r w:rsidR="00AE6CCD">
        <w:t>Mesmo se admitirmos que a disposição relativa para o trabalho e o lazer está presente e supusermos que a pulsão empreendedora é maior no Norte do Paraná do que em outras regiões, dificilmente esta particularidade cultural explicaria a enorme distância entre as taxas aparentes de ocupação de Maringá e Sarandi. Este último município nasceu de Maringá e comunga com este seus traços culturais que orientam a organização da vida e a propensão ao trabalho. Além disso</w:t>
      </w:r>
      <w:r w:rsidR="00FA3453">
        <w:t>,</w:t>
      </w:r>
      <w:r w:rsidR="00AE6CCD">
        <w:t xml:space="preserve"> (e este é o argumento mais importante), </w:t>
      </w:r>
      <w:r w:rsidRPr="00AE6CCD">
        <w:rPr>
          <w:b/>
        </w:rPr>
        <w:t>grau de ocupação efetivo não é função do desejo de trabalhar. Mas da existência de oportunidades de emprego.</w:t>
      </w:r>
      <w:r w:rsidR="00AE6CCD">
        <w:t xml:space="preserve"> </w:t>
      </w:r>
      <w:r w:rsidR="00AE6CCD" w:rsidRPr="00AE6CCD">
        <w:rPr>
          <w:b/>
        </w:rPr>
        <w:t>O que os</w:t>
      </w:r>
      <w:r w:rsidRPr="00AE6CCD">
        <w:rPr>
          <w:b/>
        </w:rPr>
        <w:t xml:space="preserve"> dados </w:t>
      </w:r>
      <w:r w:rsidR="00AE6CCD" w:rsidRPr="00AE6CCD">
        <w:rPr>
          <w:b/>
        </w:rPr>
        <w:t xml:space="preserve">e indicadores do Quadro 2 parecem traduzir </w:t>
      </w:r>
      <w:r w:rsidRPr="00AE6CCD">
        <w:rPr>
          <w:b/>
        </w:rPr>
        <w:t xml:space="preserve">é que as oportunidades de trabalho estão desigualmente </w:t>
      </w:r>
      <w:r w:rsidR="00871230" w:rsidRPr="00AE6CCD">
        <w:rPr>
          <w:b/>
        </w:rPr>
        <w:t>distribuídas</w:t>
      </w:r>
      <w:r w:rsidRPr="00AE6CCD">
        <w:rPr>
          <w:b/>
        </w:rPr>
        <w:t xml:space="preserve"> no território. </w:t>
      </w:r>
    </w:p>
    <w:p w14:paraId="1FF6D080" w14:textId="77777777" w:rsidR="00137FAE" w:rsidRDefault="00096D0F" w:rsidP="00BE1ABB">
      <w:pPr>
        <w:spacing w:after="120"/>
        <w:ind w:firstLine="709"/>
        <w:contextualSpacing/>
      </w:pPr>
      <w:r>
        <w:tab/>
        <w:t xml:space="preserve">Ora, até certo ponto esta distribuição desigual é esperada e (por assim dizer), “normal”. </w:t>
      </w:r>
      <w:r w:rsidR="00AE6CCD">
        <w:t>Os munic</w:t>
      </w:r>
      <w:r w:rsidR="00D17B38">
        <w:t>ípios polo tendem a concentrar a oferta de serviços complexos – tais como Educação Superior, Serviços Hospitalares de alta resolutividade, Serviços Jurídicos, Consultorias Técnicas, etc. – e serem o principal polo de Comércio da região. Mas, mesmo reconhecendo a recorrência do fenômeno, o grau de concentração do emprego formal no polo da GRM encontra-se significativamente acima do padrão corr</w:t>
      </w:r>
      <w:r w:rsidR="0067143C">
        <w:t xml:space="preserve">ente de polarização. Um indicador desta discrepância nos é fornecido pela última linha do Quadro 2 acima. </w:t>
      </w:r>
      <w:r w:rsidR="00137FAE">
        <w:t xml:space="preserve">Nela calculamos a taxa aparente de ocupação do conjunto dos municípios da “RGM sem Maringá”. </w:t>
      </w:r>
      <w:r w:rsidR="00137FAE">
        <w:lastRenderedPageBreak/>
        <w:t xml:space="preserve">E o resultado foi uma taxa aparente de ocupação de 17,87%, inferior à metade da taxa aparente de ocupação de Maringá (38,40%) e dez pontos percentuais abaixo da taxa de ocupação padrão do Paraná (26,75%). </w:t>
      </w:r>
    </w:p>
    <w:p w14:paraId="3ED4E7DC" w14:textId="3EB686DC" w:rsidR="002C46F4" w:rsidRDefault="00137FAE" w:rsidP="00BE1ABB">
      <w:pPr>
        <w:spacing w:after="120"/>
        <w:ind w:firstLine="709"/>
        <w:contextualSpacing/>
      </w:pPr>
      <w:r>
        <w:t>Mas há uma outra dimensão de</w:t>
      </w:r>
      <w:r w:rsidR="002C46F4">
        <w:t xml:space="preserve">sta concentração do emprego da </w:t>
      </w:r>
      <w:r>
        <w:t>G</w:t>
      </w:r>
      <w:r w:rsidR="002C46F4">
        <w:t>R</w:t>
      </w:r>
      <w:r>
        <w:t>M no polo que é igualmente im</w:t>
      </w:r>
      <w:r w:rsidR="002C46F4">
        <w:t xml:space="preserve">portante e que impõe uma alteração no cálculo dos </w:t>
      </w:r>
      <w:proofErr w:type="spellStart"/>
      <w:r w:rsidR="002C46F4">
        <w:t>QLs</w:t>
      </w:r>
      <w:proofErr w:type="spellEnd"/>
      <w:r w:rsidR="002C46F4">
        <w:t xml:space="preserve"> de Especializado do Quadro 1. Na verdade, quando entendemos </w:t>
      </w:r>
      <w:r w:rsidR="00B060B9">
        <w:t xml:space="preserve">que </w:t>
      </w:r>
      <w:r w:rsidR="002C46F4">
        <w:t xml:space="preserve">parcela dos ocupados em Maringá </w:t>
      </w:r>
      <w:r w:rsidR="002C46F4" w:rsidRPr="002C46F4">
        <w:rPr>
          <w:b/>
        </w:rPr>
        <w:t>não</w:t>
      </w:r>
      <w:r w:rsidR="002C46F4">
        <w:t xml:space="preserve"> são domiciliados em Maringá, fica claro que o grau de especialização setorial calculado no Quadro 1 encontra-se parcialmente distorcido. Nós não temos elementos suficientes para realizar um cálculo rigoroso neste momento. Esta é uma tarefa que exigiria um esforço de pesquisa maior do que o que seria pertinente em um projeto. Mas podemos oferecer uma primeira aproximação. </w:t>
      </w:r>
    </w:p>
    <w:p w14:paraId="4A109945" w14:textId="69193762" w:rsidR="00E00ED6" w:rsidRDefault="002C46F4" w:rsidP="00476E9F">
      <w:pPr>
        <w:spacing w:after="120"/>
        <w:ind w:firstLine="709"/>
        <w:contextualSpacing/>
      </w:pPr>
      <w:r>
        <w:t xml:space="preserve">Vamos admitir que, seja porque a economia do Norte do Paraná é pujante e geradora de emprego, seja porque a cultura do nortista é empreendedora e de dedicação ao trabalho, a taxa média de ocupação aparente da GRM seja a taxa efetivamente vigente nos 13 municípios que a compõem, inclusive Maringá. Neste caso, para uma população domiciliada de 406.693 habitantes em 2017, a população ocupada em Maringá “efetivamente maringaense” seria de 122.198 indivíduos. </w:t>
      </w:r>
      <w:r w:rsidR="00C720C6">
        <w:t xml:space="preserve">Assim, dos 156.175 ocupados em Maringá em 2017, aproximadamente 34.000 seriam moradores dos municípios do entorno. </w:t>
      </w:r>
    </w:p>
    <w:p w14:paraId="38C60CCD" w14:textId="313C0175" w:rsidR="00476E9F" w:rsidRDefault="00476E9F" w:rsidP="00476E9F">
      <w:pPr>
        <w:spacing w:after="120"/>
        <w:ind w:firstLine="709"/>
        <w:contextualSpacing/>
      </w:pPr>
      <w:r>
        <w:t>Tal como se pode observar no Quadro 3, abaixo, quando deixamos de atribuir a Maringá aquela parcela de ocupados que – supõe-se – sejam domiciliados em municípios vizinhos, as medidas de especialização ganham expressão. Qual o significado deste fenômeno? E qual a consistência analítica do exercício? Reflitamos um pouco.</w:t>
      </w:r>
    </w:p>
    <w:p w14:paraId="2FAE5339" w14:textId="5D29E519" w:rsidR="00F05808" w:rsidRDefault="00476E9F" w:rsidP="00476E9F">
      <w:pPr>
        <w:spacing w:after="120"/>
        <w:ind w:firstLine="709"/>
        <w:contextualSpacing/>
      </w:pPr>
      <w:r>
        <w:t xml:space="preserve">O exercício acima tem por fundamento uma hipótese: a de que aqueles que trabalham em Maringá, mas </w:t>
      </w:r>
      <w:r w:rsidRPr="00C4086A">
        <w:rPr>
          <w:b/>
        </w:rPr>
        <w:t>não</w:t>
      </w:r>
      <w:r>
        <w:t xml:space="preserve"> são domiciliados neste município tenderiam a despender sua renda nos municípios onde têm domicílio. Afinal, supondo que haja oferta e que ela seja tenha qualidade similar à concorrência, qualquer consumidor tende a poupar recursos com deslocamentos e a realizar compras no entorno do domicílio; sejam elas de alimentos, fármacos, roupas, serviços básicos de educação, saúde, etc. Se tal ocorresse, a demanda </w:t>
      </w:r>
      <w:r w:rsidRPr="00C4086A">
        <w:rPr>
          <w:b/>
        </w:rPr>
        <w:t>interna</w:t>
      </w:r>
      <w:r>
        <w:t xml:space="preserve"> sobre as atividades de Maringá adviria dos empregados </w:t>
      </w:r>
      <w:r w:rsidRPr="00D17704">
        <w:rPr>
          <w:b/>
        </w:rPr>
        <w:t>domiciliados</w:t>
      </w:r>
      <w:r>
        <w:t xml:space="preserve"> no município. Tudo o que excede a esta demanda </w:t>
      </w:r>
      <w:r w:rsidRPr="00D17704">
        <w:rPr>
          <w:b/>
        </w:rPr>
        <w:t>estritamente</w:t>
      </w:r>
      <w:r>
        <w:t xml:space="preserve"> </w:t>
      </w:r>
      <w:r w:rsidRPr="00D17704">
        <w:rPr>
          <w:b/>
        </w:rPr>
        <w:t>interna</w:t>
      </w:r>
      <w:r>
        <w:t xml:space="preserve">, adviria de domiciliados externos: seria “exportação”, atividade “propulsiva”. </w:t>
      </w:r>
    </w:p>
    <w:p w14:paraId="2B46D7DC" w14:textId="77777777" w:rsidR="00476E9F" w:rsidRDefault="00476E9F" w:rsidP="00476E9F">
      <w:pPr>
        <w:spacing w:after="120"/>
        <w:ind w:firstLine="709"/>
        <w:contextualSpacing/>
      </w:pPr>
    </w:p>
    <w:p w14:paraId="57D3DC5A" w14:textId="77777777" w:rsidR="00476E9F" w:rsidRPr="00476E9F" w:rsidRDefault="00476E9F" w:rsidP="00476E9F">
      <w:pPr>
        <w:spacing w:after="120"/>
        <w:ind w:firstLine="709"/>
        <w:contextualSpacing/>
      </w:pPr>
    </w:p>
    <w:p w14:paraId="6255876E" w14:textId="2D123CAC" w:rsidR="004D613B" w:rsidRDefault="004E3E7E" w:rsidP="004D613B">
      <w:pPr>
        <w:spacing w:after="0" w:line="240" w:lineRule="auto"/>
        <w:contextualSpacing/>
        <w:jc w:val="center"/>
        <w:rPr>
          <w:b/>
        </w:rPr>
      </w:pPr>
      <w:r w:rsidRPr="00536984">
        <w:rPr>
          <w:b/>
        </w:rPr>
        <w:lastRenderedPageBreak/>
        <w:t>Quadro 3: Especialização Produtiva de Maringá Revista</w:t>
      </w:r>
      <w:r w:rsidR="00536984" w:rsidRPr="00536984">
        <w:rPr>
          <w:b/>
        </w:rPr>
        <w:t xml:space="preserve"> </w:t>
      </w:r>
    </w:p>
    <w:p w14:paraId="02DE6139" w14:textId="06397FF9" w:rsidR="00536984" w:rsidRPr="004D613B" w:rsidRDefault="004E3E7E" w:rsidP="004D613B">
      <w:pPr>
        <w:spacing w:after="0" w:line="240" w:lineRule="auto"/>
        <w:contextualSpacing/>
        <w:jc w:val="center"/>
        <w:rPr>
          <w:b/>
        </w:rPr>
      </w:pPr>
      <w:r w:rsidRPr="00536984">
        <w:rPr>
          <w:b/>
        </w:rPr>
        <w:t>à luz da Diferenciação entre Emprego Total e Emprego dos Domiciliados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327"/>
        <w:gridCol w:w="916"/>
        <w:gridCol w:w="1083"/>
        <w:gridCol w:w="822"/>
        <w:gridCol w:w="1066"/>
        <w:gridCol w:w="1005"/>
      </w:tblGrid>
      <w:tr w:rsidR="006E234E" w:rsidRPr="00536984" w14:paraId="6AF4260E" w14:textId="77777777" w:rsidTr="00536984">
        <w:trPr>
          <w:trHeight w:val="3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BF1DE"/>
            <w:vAlign w:val="center"/>
            <w:hideMark/>
          </w:tcPr>
          <w:p w14:paraId="703964D9" w14:textId="77777777" w:rsidR="006E234E" w:rsidRPr="00536984" w:rsidRDefault="006E234E" w:rsidP="004D61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Território</w:t>
            </w:r>
          </w:p>
        </w:tc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14:paraId="64DED0A4" w14:textId="77777777" w:rsidR="006E234E" w:rsidRPr="00536984" w:rsidRDefault="006E234E" w:rsidP="004D61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Maringá</w:t>
            </w:r>
          </w:p>
        </w:tc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noWrap/>
            <w:vAlign w:val="bottom"/>
            <w:hideMark/>
          </w:tcPr>
          <w:p w14:paraId="52F70E80" w14:textId="77777777" w:rsidR="006E234E" w:rsidRPr="00536984" w:rsidRDefault="006E234E" w:rsidP="004D613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Paraná</w:t>
            </w:r>
          </w:p>
        </w:tc>
      </w:tr>
      <w:tr w:rsidR="006E234E" w:rsidRPr="00536984" w14:paraId="0B885989" w14:textId="77777777" w:rsidTr="00B87BEC">
        <w:trPr>
          <w:trHeight w:val="445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5D9F1"/>
            <w:vAlign w:val="center"/>
            <w:hideMark/>
          </w:tcPr>
          <w:p w14:paraId="3364D3F5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Categorias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E2434FF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Num </w:t>
            </w:r>
            <w:proofErr w:type="spellStart"/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Tr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E11F00F" w14:textId="11532BA9" w:rsidR="006E234E" w:rsidRPr="00536984" w:rsidRDefault="00B87BEC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% Pop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To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5D9F1"/>
            <w:vAlign w:val="center"/>
            <w:hideMark/>
          </w:tcPr>
          <w:p w14:paraId="6133259F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QL PR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02372B1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Num </w:t>
            </w:r>
            <w:proofErr w:type="spellStart"/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Tr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14:paraId="197DD606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% </w:t>
            </w:r>
            <w:proofErr w:type="spellStart"/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Tr</w:t>
            </w:r>
            <w:proofErr w:type="spellEnd"/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PR</w:t>
            </w:r>
          </w:p>
        </w:tc>
      </w:tr>
      <w:tr w:rsidR="006E234E" w:rsidRPr="00536984" w14:paraId="4807851E" w14:textId="77777777" w:rsidTr="00536984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DE9D9"/>
            <w:vAlign w:val="center"/>
            <w:hideMark/>
          </w:tcPr>
          <w:p w14:paraId="08DF8D7A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Emprego Formal Domiciliados (presumido)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03433759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sz w:val="20"/>
                <w:szCs w:val="20"/>
              </w:rPr>
              <w:t xml:space="preserve"> 122.198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44AF0362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14:paraId="0921AD56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1,0000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6C03617B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2.941.718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58BF9016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</w:tr>
      <w:tr w:rsidR="006E234E" w:rsidRPr="00536984" w14:paraId="67E75F31" w14:textId="77777777" w:rsidTr="00536984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638AA3AB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Agropecuária e Extração Vegetal e Mineral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58B5B3C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694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4DBFDA20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0,57%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14:paraId="541FD3D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0,1521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640FC81C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109.853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4C7CB98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3,73%</w:t>
            </w:r>
          </w:p>
        </w:tc>
      </w:tr>
      <w:tr w:rsidR="006E234E" w:rsidRPr="00536984" w14:paraId="3D3FEF80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323BB62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Agropecuária e Atividades de Apoio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7C746AA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574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72EEBB73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0,47%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DE9D9"/>
            <w:noWrap/>
            <w:vAlign w:val="bottom"/>
            <w:hideMark/>
          </w:tcPr>
          <w:p w14:paraId="4B9A26DC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0,1488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3D197F7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92.856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4ABFDAF6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3,16%</w:t>
            </w:r>
          </w:p>
        </w:tc>
      </w:tr>
      <w:tr w:rsidR="006E234E" w:rsidRPr="00536984" w14:paraId="51CA674B" w14:textId="77777777" w:rsidTr="00536984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DE9D9"/>
            <w:vAlign w:val="center"/>
            <w:hideMark/>
          </w:tcPr>
          <w:p w14:paraId="58D3DD10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Pesca, Extrativismo Florestal e Mineral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2D4874D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3E5782AB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0,10%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noWrap/>
            <w:vAlign w:val="bottom"/>
            <w:hideMark/>
          </w:tcPr>
          <w:p w14:paraId="3E3CB0F7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0,1700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95DBB36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16.997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5BE3EB65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0,58%</w:t>
            </w:r>
          </w:p>
        </w:tc>
      </w:tr>
      <w:tr w:rsidR="006E234E" w:rsidRPr="00536984" w14:paraId="1665B47E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B7DEE8"/>
            <w:vAlign w:val="center"/>
            <w:hideMark/>
          </w:tcPr>
          <w:p w14:paraId="5CE98DC6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Indústria: </w:t>
            </w:r>
            <w:proofErr w:type="spellStart"/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Transform</w:t>
            </w:r>
            <w:proofErr w:type="spellEnd"/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. - Cons. Civil - Serv. Ind.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06F0C37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35.755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D887517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29,26%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5700D5A9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1,2521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56119A39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687.445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14:paraId="7C5650C6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23,37%</w:t>
            </w:r>
          </w:p>
        </w:tc>
      </w:tr>
      <w:tr w:rsidR="006E234E" w:rsidRPr="00536984" w14:paraId="2B2FD424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7DEE8"/>
            <w:vAlign w:val="center"/>
            <w:hideMark/>
          </w:tcPr>
          <w:p w14:paraId="56CA034A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Indústria Agroalimentar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EED0C98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9.887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708ED7A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8,09%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7C8B150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1,2420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7EB2476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191.638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14:paraId="1869BACC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6,51%</w:t>
            </w:r>
          </w:p>
        </w:tc>
      </w:tr>
      <w:tr w:rsidR="006E234E" w:rsidRPr="00536984" w14:paraId="7C93143F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7DEE8"/>
            <w:vAlign w:val="center"/>
            <w:hideMark/>
          </w:tcPr>
          <w:p w14:paraId="64EA2D1C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Ind</w:t>
            </w:r>
            <w:proofErr w:type="spellEnd"/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Vestuário e Calçados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06D188A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5.075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F75383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4,15%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3EF9F72F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1,6019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68CAD2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76.268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14:paraId="2DDC6ECA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2,59%</w:t>
            </w:r>
          </w:p>
        </w:tc>
      </w:tr>
      <w:tr w:rsidR="006E234E" w:rsidRPr="00536984" w14:paraId="2BA7FD10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7DEE8"/>
            <w:vAlign w:val="center"/>
            <w:hideMark/>
          </w:tcPr>
          <w:p w14:paraId="317C9F10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Ind</w:t>
            </w:r>
            <w:proofErr w:type="spellEnd"/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de Transformação: Outros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4EEEB21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11.029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CBEFAF3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9,03%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35AE0B5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1,0296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70F56131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257.881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14:paraId="109E802D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8,77%</w:t>
            </w:r>
          </w:p>
        </w:tc>
      </w:tr>
      <w:tr w:rsidR="006E234E" w:rsidRPr="00536984" w14:paraId="72067341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7DEE8"/>
            <w:vAlign w:val="center"/>
            <w:hideMark/>
          </w:tcPr>
          <w:p w14:paraId="66A429EC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Serviços Industriais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42E93E2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821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901CB2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0,67%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24DAD250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0,4910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79C2FD4F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40.256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14:paraId="487CAD05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1,37%</w:t>
            </w:r>
          </w:p>
        </w:tc>
      </w:tr>
      <w:tr w:rsidR="006E234E" w:rsidRPr="00536984" w14:paraId="5DC431C1" w14:textId="77777777" w:rsidTr="00536984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7DEE8"/>
            <w:vAlign w:val="center"/>
            <w:hideMark/>
          </w:tcPr>
          <w:p w14:paraId="7C8067AA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Indústria da Construção Civil 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6515EA0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8.943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4C0FA53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7,32%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B7DEE8"/>
            <w:noWrap/>
            <w:vAlign w:val="bottom"/>
            <w:hideMark/>
          </w:tcPr>
          <w:p w14:paraId="4A4FF075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1,7733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77C89C15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121.402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7DEE8"/>
            <w:noWrap/>
            <w:vAlign w:val="bottom"/>
            <w:hideMark/>
          </w:tcPr>
          <w:p w14:paraId="6618BAD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4,13%</w:t>
            </w:r>
          </w:p>
        </w:tc>
      </w:tr>
      <w:tr w:rsidR="006E234E" w:rsidRPr="00536984" w14:paraId="1B5D9F44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4AB591A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Comércio e Serviços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2A28E83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106.753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21420A50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87,36%</w:t>
            </w:r>
          </w:p>
        </w:tc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7D9266EA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1,5443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748326A0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1.664.127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666DBFA2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56,57%</w:t>
            </w:r>
          </w:p>
        </w:tc>
      </w:tr>
      <w:tr w:rsidR="006E234E" w:rsidRPr="00536984" w14:paraId="165B2149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71B3BF61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Comércio Varejista e Atacadista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17C1D79D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38.704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027960C1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31,67%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058180D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1,4354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54397355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649.123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3B0A5491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22,07%</w:t>
            </w:r>
          </w:p>
        </w:tc>
      </w:tr>
      <w:tr w:rsidR="006E234E" w:rsidRPr="00536984" w14:paraId="0023F43E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4118A27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Transporte e Logística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91EA5B8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11.848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57C87DE7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9,70%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4192DCA3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1,6970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A272B43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168.069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0BB37F36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5,71%</w:t>
            </w:r>
          </w:p>
        </w:tc>
      </w:tr>
      <w:tr w:rsidR="006E234E" w:rsidRPr="00536984" w14:paraId="61A3DF49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7E5D95C8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Serviços Prestados às Famílias e às Empresas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74820C0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29.647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551D6128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24,26%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center"/>
            <w:hideMark/>
          </w:tcPr>
          <w:p w14:paraId="63251B96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1,4349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21A0447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497.391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1C6ECC6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16,91%</w:t>
            </w:r>
          </w:p>
        </w:tc>
      </w:tr>
      <w:tr w:rsidR="006E234E" w:rsidRPr="00536984" w14:paraId="28689591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66B9CDE2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SPB-Educação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011C3331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12.291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31E49B58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10,06%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2A284FD2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2,2642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78AE9E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130.680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573BB3AB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4,44%</w:t>
            </w:r>
          </w:p>
        </w:tc>
      </w:tr>
      <w:tr w:rsidR="006E234E" w:rsidRPr="00536984" w14:paraId="6D284D4F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E4DFEC"/>
            <w:vAlign w:val="center"/>
            <w:hideMark/>
          </w:tcPr>
          <w:p w14:paraId="4F3EAB79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SPB-Saúde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32452BF5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8.293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22B4182B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6,79%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720FEC01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1,6156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  <w:hideMark/>
          </w:tcPr>
          <w:p w14:paraId="67DDE00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123.567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45E7EAD2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4,20%</w:t>
            </w:r>
          </w:p>
        </w:tc>
      </w:tr>
      <w:tr w:rsidR="006E234E" w:rsidRPr="00536984" w14:paraId="33890E05" w14:textId="77777777" w:rsidTr="00536984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E4DFEC"/>
            <w:vAlign w:val="center"/>
            <w:hideMark/>
          </w:tcPr>
          <w:p w14:paraId="3E2AB36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Outros Serviços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073253D0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5.970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30C605AA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4,89%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E4DFEC"/>
            <w:noWrap/>
            <w:vAlign w:val="bottom"/>
            <w:hideMark/>
          </w:tcPr>
          <w:p w14:paraId="37D41FF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1,5081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4DFEC"/>
            <w:noWrap/>
            <w:vAlign w:val="bottom"/>
            <w:hideMark/>
          </w:tcPr>
          <w:p w14:paraId="5FDA9B45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95.297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4DFEC"/>
            <w:noWrap/>
            <w:vAlign w:val="bottom"/>
            <w:hideMark/>
          </w:tcPr>
          <w:p w14:paraId="608398C8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3,24%</w:t>
            </w:r>
          </w:p>
        </w:tc>
      </w:tr>
      <w:tr w:rsidR="006E234E" w:rsidRPr="00536984" w14:paraId="3CCBFA36" w14:textId="77777777" w:rsidTr="00536984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DE9D9"/>
            <w:vAlign w:val="center"/>
            <w:hideMark/>
          </w:tcPr>
          <w:p w14:paraId="2BEB95BB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Administração Pública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07DBFE7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12.973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1DBD619D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10,62%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055683BA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0,6502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6308392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480.293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4D8685E8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16,33%</w:t>
            </w:r>
          </w:p>
        </w:tc>
      </w:tr>
      <w:tr w:rsidR="006E234E" w:rsidRPr="00536984" w14:paraId="37A63A4E" w14:textId="77777777" w:rsidTr="00536984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DE9D9"/>
            <w:vAlign w:val="center"/>
            <w:hideMark/>
          </w:tcPr>
          <w:p w14:paraId="784AB6CA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Adm</w:t>
            </w:r>
            <w:proofErr w:type="spellEnd"/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Pública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65536708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12.973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4BA47D4A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10,62%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0067627E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0,6502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14:paraId="193A30C0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480.293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DE9D9"/>
            <w:noWrap/>
            <w:vAlign w:val="bottom"/>
            <w:hideMark/>
          </w:tcPr>
          <w:p w14:paraId="686CF956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16,33%</w:t>
            </w:r>
          </w:p>
        </w:tc>
      </w:tr>
      <w:tr w:rsidR="006E234E" w:rsidRPr="00536984" w14:paraId="64D12A42" w14:textId="77777777" w:rsidTr="00536984">
        <w:trPr>
          <w:trHeight w:val="32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C4D79B"/>
            <w:noWrap/>
            <w:vAlign w:val="bottom"/>
            <w:hideMark/>
          </w:tcPr>
          <w:p w14:paraId="7F179B1F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Emprego Formal Total (informado RAIS-MTE)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7A6FDD4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156.175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C649ABC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127,80%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bottom"/>
            <w:hideMark/>
          </w:tcPr>
          <w:p w14:paraId="6A910DA3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color w:val="000000"/>
                <w:sz w:val="20"/>
                <w:szCs w:val="20"/>
              </w:rPr>
              <w:t>1,2780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9C5236B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2.941.718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4D79B"/>
            <w:noWrap/>
            <w:vAlign w:val="bottom"/>
            <w:hideMark/>
          </w:tcPr>
          <w:p w14:paraId="7AECADB6" w14:textId="77777777" w:rsidR="006E234E" w:rsidRPr="00536984" w:rsidRDefault="006E234E" w:rsidP="004D613B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36984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100,00%</w:t>
            </w:r>
          </w:p>
        </w:tc>
      </w:tr>
    </w:tbl>
    <w:p w14:paraId="6F5486D4" w14:textId="172923FB" w:rsidR="006E234E" w:rsidRPr="004D613B" w:rsidRDefault="004E3E7E" w:rsidP="00CB28E0">
      <w:pPr>
        <w:spacing w:after="0" w:line="240" w:lineRule="auto"/>
        <w:jc w:val="left"/>
        <w:rPr>
          <w:sz w:val="20"/>
          <w:szCs w:val="20"/>
        </w:rPr>
      </w:pPr>
      <w:r w:rsidRPr="004D613B">
        <w:rPr>
          <w:sz w:val="20"/>
          <w:szCs w:val="20"/>
        </w:rPr>
        <w:t>FDB: Est Pop</w:t>
      </w:r>
      <w:r w:rsidR="004D613B">
        <w:rPr>
          <w:sz w:val="20"/>
          <w:szCs w:val="20"/>
        </w:rPr>
        <w:t xml:space="preserve"> 2017 (IBGE), RAIS-2017 (MTE). Os i</w:t>
      </w:r>
      <w:r w:rsidRPr="004D613B">
        <w:rPr>
          <w:sz w:val="20"/>
          <w:szCs w:val="20"/>
        </w:rPr>
        <w:t xml:space="preserve">ndicadores </w:t>
      </w:r>
      <w:r w:rsidR="004D613B">
        <w:rPr>
          <w:sz w:val="20"/>
          <w:szCs w:val="20"/>
        </w:rPr>
        <w:t xml:space="preserve">foram </w:t>
      </w:r>
      <w:r w:rsidRPr="004D613B">
        <w:rPr>
          <w:sz w:val="20"/>
          <w:szCs w:val="20"/>
        </w:rPr>
        <w:t>pro</w:t>
      </w:r>
      <w:r w:rsidR="004D613B">
        <w:rPr>
          <w:sz w:val="20"/>
          <w:szCs w:val="20"/>
        </w:rPr>
        <w:t xml:space="preserve">duzidos </w:t>
      </w:r>
      <w:r w:rsidRPr="004D613B">
        <w:rPr>
          <w:sz w:val="20"/>
          <w:szCs w:val="20"/>
        </w:rPr>
        <w:t>pelos autores</w:t>
      </w:r>
    </w:p>
    <w:p w14:paraId="278958BA" w14:textId="77777777" w:rsidR="00536984" w:rsidRDefault="00536984" w:rsidP="00BE1ABB">
      <w:pPr>
        <w:spacing w:after="120"/>
        <w:ind w:firstLine="709"/>
        <w:contextualSpacing/>
      </w:pPr>
    </w:p>
    <w:p w14:paraId="75B942D5" w14:textId="110AD5DF" w:rsidR="00476E9F" w:rsidRPr="00476E9F" w:rsidRDefault="00476E9F" w:rsidP="00476E9F">
      <w:pPr>
        <w:spacing w:after="120"/>
        <w:ind w:firstLine="709"/>
        <w:contextualSpacing/>
      </w:pPr>
      <w:r w:rsidRPr="00476E9F">
        <w:rPr>
          <w:b/>
        </w:rPr>
        <w:t>O que o Quadro 3 de fato demonstra é que parcela expressiva da demanda sobre o setor terciário de Maringá advém de fora.</w:t>
      </w:r>
      <w:r>
        <w:t xml:space="preserve"> Mais exatamente, de duas fontes: 1) dos domiciliados e empregados nas cidades do entorno (como já havia ficado demonstrado no Quadro 1); 2) daqueles empregados em Maringá que, mesmo domiciliados em outros municípios, despedem parte de suas rendas na cidade polo, em detrimento do comércio e do serviço dos municípios satélites.</w:t>
      </w:r>
    </w:p>
    <w:p w14:paraId="436C6052" w14:textId="77777777" w:rsidR="00012E0A" w:rsidRDefault="00012E0A" w:rsidP="00476E9F">
      <w:pPr>
        <w:spacing w:after="120"/>
        <w:contextualSpacing/>
      </w:pPr>
    </w:p>
    <w:p w14:paraId="4665413C" w14:textId="06BFFF2F" w:rsidR="00012E0A" w:rsidRPr="00CB28E0" w:rsidRDefault="00012E0A" w:rsidP="00CB28E0">
      <w:pPr>
        <w:pStyle w:val="PargrafodaLista"/>
        <w:numPr>
          <w:ilvl w:val="0"/>
          <w:numId w:val="1"/>
        </w:numPr>
        <w:spacing w:after="120"/>
        <w:ind w:left="0" w:firstLine="709"/>
        <w:outlineLvl w:val="0"/>
        <w:rPr>
          <w:sz w:val="28"/>
          <w:szCs w:val="28"/>
        </w:rPr>
      </w:pPr>
      <w:bookmarkStart w:id="3" w:name="_Toc11765179"/>
      <w:r w:rsidRPr="00CB28E0">
        <w:rPr>
          <w:sz w:val="28"/>
          <w:szCs w:val="28"/>
        </w:rPr>
        <w:t>Interdependência Dinâmica entre Polo e Periferia: breve aporte teórico</w:t>
      </w:r>
      <w:bookmarkEnd w:id="3"/>
    </w:p>
    <w:p w14:paraId="02DD9C79" w14:textId="1246B552" w:rsidR="00331380" w:rsidRDefault="00012E0A" w:rsidP="00B028EF">
      <w:pPr>
        <w:spacing w:after="120"/>
        <w:ind w:firstLine="709"/>
      </w:pPr>
      <w:r>
        <w:t xml:space="preserve">Os </w:t>
      </w:r>
      <w:r w:rsidR="00D17704">
        <w:t xml:space="preserve">dados </w:t>
      </w:r>
      <w:r w:rsidR="00476E9F">
        <w:t>apresentados na segunda seção</w:t>
      </w:r>
      <w:r>
        <w:t xml:space="preserve"> revelam </w:t>
      </w:r>
      <w:r w:rsidR="00D17704">
        <w:t>a extraordinária competência de Maringá na administração de sua posiçã</w:t>
      </w:r>
      <w:r>
        <w:t xml:space="preserve">o enquanto polo regional. Mas, ao mesmo tempo, elas </w:t>
      </w:r>
      <w:r>
        <w:lastRenderedPageBreak/>
        <w:t xml:space="preserve">revelam sua grande dependência do dinamismo econômico dos municípios polarizados. </w:t>
      </w:r>
      <w:r w:rsidR="00322000">
        <w:t>Por</w:t>
      </w:r>
      <w:r w:rsidR="00D17704">
        <w:t xml:space="preserve"> quê? Porque </w:t>
      </w:r>
      <w:r w:rsidR="00C5767D">
        <w:t xml:space="preserve">o crescimento econômico de </w:t>
      </w:r>
      <w:r w:rsidR="00322000">
        <w:t xml:space="preserve">um município polo </w:t>
      </w:r>
      <w:r w:rsidR="00D17704">
        <w:t>especializado</w:t>
      </w:r>
      <w:r w:rsidR="00C5767D">
        <w:t xml:space="preserve"> em Serviços depende</w:t>
      </w:r>
      <w:r w:rsidR="00322000">
        <w:t xml:space="preserve"> da demanda </w:t>
      </w:r>
      <w:r w:rsidR="00C5767D">
        <w:t>sobre estes mesmos serviços. E esta d</w:t>
      </w:r>
      <w:r w:rsidR="00331380">
        <w:t>emanda não pode ser só interna. O</w:t>
      </w:r>
      <w:r w:rsidR="00C5767D">
        <w:t xml:space="preserve">u a atividade deixa de </w:t>
      </w:r>
      <w:r w:rsidR="00331380">
        <w:t>ser propulsiva para ser reflexa</w:t>
      </w:r>
      <w:r w:rsidR="00C5767D">
        <w:t>.</w:t>
      </w:r>
      <w:r w:rsidR="00331380">
        <w:t xml:space="preserve"> Para que se entenda esta afirmação, vale resgatar - muito brevemente, e da forma mais simplificada possível – a chamada “Equação Macroeconômica Funda</w:t>
      </w:r>
      <w:r w:rsidR="00B028EF">
        <w:t>mental”. De acordo com a mesma:</w:t>
      </w:r>
    </w:p>
    <w:p w14:paraId="321A297F" w14:textId="5BB10CBE" w:rsidR="00331380" w:rsidRDefault="00331380" w:rsidP="00331380">
      <w:pPr>
        <w:ind w:firstLine="709"/>
      </w:pPr>
      <w:r>
        <w:t xml:space="preserve">a) Yd = </w:t>
      </w:r>
      <w:r w:rsidR="00DC71B8">
        <w:t xml:space="preserve">PIB – T = </w:t>
      </w:r>
      <w:r>
        <w:t>C + I + (G – T) + X – M</w:t>
      </w:r>
      <w:r w:rsidR="00A45DB1">
        <w:rPr>
          <w:rStyle w:val="Refdenotaderodap"/>
        </w:rPr>
        <w:footnoteReference w:id="4"/>
      </w:r>
      <w:r>
        <w:t xml:space="preserve">; </w:t>
      </w:r>
    </w:p>
    <w:p w14:paraId="7534EEC7" w14:textId="106F5EDF" w:rsidR="00B028EF" w:rsidRDefault="00B028EF" w:rsidP="00331380">
      <w:pPr>
        <w:ind w:firstLine="720"/>
      </w:pPr>
      <w:r>
        <w:t xml:space="preserve">A equação “a” acima nos informa que </w:t>
      </w:r>
      <w:r w:rsidR="008D1D03">
        <w:t xml:space="preserve">em </w:t>
      </w:r>
      <w:r w:rsidR="00331380">
        <w:t xml:space="preserve">uma economia mercantil, a renda disponível de trabalhadores e </w:t>
      </w:r>
      <w:r w:rsidR="00DC71B8">
        <w:t xml:space="preserve">empresários (Yd) corresponde à soma do valor agregado em todas as atividades produtivas (Produto Interno Bruto; PIB) líquido da tributação (T). </w:t>
      </w:r>
      <w:r>
        <w:t xml:space="preserve">O </w:t>
      </w:r>
      <w:r w:rsidR="00DC71B8">
        <w:t>P</w:t>
      </w:r>
      <w:r>
        <w:t xml:space="preserve">roduto e a Renda </w:t>
      </w:r>
      <w:r w:rsidR="00DC71B8">
        <w:t>líquido</w:t>
      </w:r>
      <w:r>
        <w:t>s</w:t>
      </w:r>
      <w:r w:rsidR="00DC71B8">
        <w:t xml:space="preserve"> de impostos </w:t>
      </w:r>
      <w:r>
        <w:t xml:space="preserve">correspondem, </w:t>
      </w:r>
      <w:r w:rsidR="00DC71B8">
        <w:t xml:space="preserve">por sua vez, </w:t>
      </w:r>
      <w:r>
        <w:t>a demanda total incidente sobre os produtores. Estas demandas são de quatro tipos: demanda de bens e serviços de consumo (C); demanda de bens de capital (I);</w:t>
      </w:r>
      <w:r w:rsidR="00DC71B8">
        <w:t xml:space="preserve"> </w:t>
      </w:r>
      <w:r>
        <w:t xml:space="preserve">demandas exercidas pelo </w:t>
      </w:r>
      <w:r w:rsidR="00DC71B8">
        <w:t>Governo (G)</w:t>
      </w:r>
      <w:r>
        <w:t>; demandas externas ao território (X). Uma parte da demanda, contudo, dirige-se para produtos oriundos do exterior, que não são produto (nem renda) dos agentes locais, mas produtos importados (M)</w:t>
      </w:r>
      <w:r w:rsidR="00DC71B8">
        <w:t xml:space="preserve">. </w:t>
      </w:r>
    </w:p>
    <w:p w14:paraId="30B6C82D" w14:textId="276F488A" w:rsidR="00331380" w:rsidRDefault="00DC71B8" w:rsidP="00331380">
      <w:pPr>
        <w:ind w:firstLine="720"/>
      </w:pPr>
      <w:r>
        <w:t>Supon</w:t>
      </w:r>
      <w:r w:rsidR="00B028EF">
        <w:t xml:space="preserve">hamos (para simplificar) </w:t>
      </w:r>
      <w:r>
        <w:t xml:space="preserve">o gasto do governo </w:t>
      </w:r>
      <w:r w:rsidR="00B028EF">
        <w:t>(G) seja igual à Tributação (T). Neste caso, “G -</w:t>
      </w:r>
      <w:r>
        <w:t xml:space="preserve"> T </w:t>
      </w:r>
      <w:r w:rsidR="00B028EF">
        <w:t xml:space="preserve">= 0”, e as duas variáveis saem da equação, restando: </w:t>
      </w:r>
    </w:p>
    <w:p w14:paraId="2071AB1D" w14:textId="1D1627C9" w:rsidR="00DC71B8" w:rsidRDefault="00DC71B8" w:rsidP="00331380">
      <w:pPr>
        <w:ind w:firstLine="720"/>
      </w:pPr>
      <w:r>
        <w:t>b) Yd = C + I + X – M</w:t>
      </w:r>
    </w:p>
    <w:p w14:paraId="062DB1D9" w14:textId="2D36D654" w:rsidR="00DC71B8" w:rsidRDefault="00B028EF" w:rsidP="00DC71B8">
      <w:pPr>
        <w:ind w:firstLine="720"/>
      </w:pPr>
      <w:r>
        <w:t>Suponhamos ainda</w:t>
      </w:r>
      <w:r w:rsidR="00DC71B8">
        <w:t xml:space="preserve"> que o consumo </w:t>
      </w:r>
      <w:r>
        <w:t xml:space="preserve">“C” </w:t>
      </w:r>
      <w:r w:rsidR="00DC71B8">
        <w:t>seja integralmen</w:t>
      </w:r>
      <w:r>
        <w:t>te reflexo, vale dizer, que ele</w:t>
      </w:r>
      <w:r w:rsidR="00DC71B8">
        <w:t xml:space="preserve"> seja </w:t>
      </w:r>
      <w:r>
        <w:t xml:space="preserve">uma </w:t>
      </w:r>
      <w:r w:rsidR="00DC71B8">
        <w:t xml:space="preserve">função </w:t>
      </w:r>
      <w:r>
        <w:t xml:space="preserve">“f” </w:t>
      </w:r>
      <w:r w:rsidR="00DC71B8">
        <w:t xml:space="preserve">da renda </w:t>
      </w:r>
      <w:r>
        <w:t>“Yd” (sem renda, não há crédito, nem compras). Esta hipótese se expressa na equação abaixo:</w:t>
      </w:r>
      <w:r w:rsidR="00DC71B8">
        <w:t xml:space="preserve"> </w:t>
      </w:r>
    </w:p>
    <w:p w14:paraId="6F2A346C" w14:textId="435A29F5" w:rsidR="00331380" w:rsidRDefault="00DC71B8" w:rsidP="00DC71B8">
      <w:pPr>
        <w:ind w:firstLine="720"/>
      </w:pPr>
      <w:r>
        <w:t xml:space="preserve">c) </w:t>
      </w:r>
      <w:r w:rsidR="00331380">
        <w:t>C = f (Yd) = c Yd</w:t>
      </w:r>
      <w:r>
        <w:t xml:space="preserve">; e </w:t>
      </w:r>
    </w:p>
    <w:p w14:paraId="4129F76A" w14:textId="6169C7F5" w:rsidR="00331380" w:rsidRDefault="00DC71B8" w:rsidP="00DC71B8">
      <w:pPr>
        <w:ind w:firstLine="720"/>
      </w:pPr>
      <w:r>
        <w:t xml:space="preserve">d) </w:t>
      </w:r>
      <w:r w:rsidR="00331380">
        <w:t>Yd = c Yd + I + X – M</w:t>
      </w:r>
    </w:p>
    <w:p w14:paraId="020571CE" w14:textId="1B97404B" w:rsidR="00331380" w:rsidRDefault="00331380" w:rsidP="00DC71B8">
      <w:pPr>
        <w:ind w:firstLine="720"/>
      </w:pPr>
      <w:r>
        <w:t>Suponhamos</w:t>
      </w:r>
      <w:r w:rsidR="00DC71B8">
        <w:t>, por fim,</w:t>
      </w:r>
      <w:r>
        <w:t xml:space="preserve"> que todos os bens de consumo (alimentos, vestuário, serviços pessoais, educação, saúde, etc.</w:t>
      </w:r>
      <w:r w:rsidR="00C8601A">
        <w:t xml:space="preserve">) sejam produzidos </w:t>
      </w:r>
      <w:r w:rsidR="00DC71B8">
        <w:t xml:space="preserve">na Região de Maringá </w:t>
      </w:r>
      <w:r>
        <w:t xml:space="preserve">e nada seja </w:t>
      </w:r>
      <w:r>
        <w:lastRenderedPageBreak/>
        <w:t>importado</w:t>
      </w:r>
      <w:r w:rsidR="00C8601A">
        <w:rPr>
          <w:rStyle w:val="Refdenotaderodap"/>
        </w:rPr>
        <w:footnoteReference w:id="5"/>
      </w:r>
      <w:r w:rsidR="00C8601A">
        <w:t>.</w:t>
      </w:r>
      <w:r>
        <w:t xml:space="preserve"> Neste caso, as importações (M) corresponderiam </w:t>
      </w:r>
      <w:r w:rsidR="00DC71B8">
        <w:t xml:space="preserve">exatamente </w:t>
      </w:r>
      <w:r>
        <w:t xml:space="preserve">às demandas de Investimento (I). </w:t>
      </w:r>
      <w:r w:rsidR="00DC71B8">
        <w:t xml:space="preserve">E se </w:t>
      </w:r>
      <w:r w:rsidR="00C8601A">
        <w:t xml:space="preserve">I = M, então </w:t>
      </w:r>
      <w:r>
        <w:t xml:space="preserve"> </w:t>
      </w:r>
      <w:r w:rsidR="00C8601A">
        <w:t xml:space="preserve">“I – M = 0”. E apenas duas variáveis restam na </w:t>
      </w:r>
      <w:r>
        <w:t>equação</w:t>
      </w:r>
      <w:r w:rsidR="00C8601A">
        <w:t xml:space="preserve">: Yd e X, de sorte que: </w:t>
      </w:r>
    </w:p>
    <w:p w14:paraId="2ED1267E" w14:textId="77777777" w:rsidR="00C8601A" w:rsidRDefault="00DC71B8" w:rsidP="00C8601A">
      <w:pPr>
        <w:ind w:firstLine="720"/>
      </w:pPr>
      <w:r>
        <w:t xml:space="preserve">e) </w:t>
      </w:r>
      <w:r w:rsidR="00331380">
        <w:t xml:space="preserve">Yd = c Yd + X </w:t>
      </w:r>
    </w:p>
    <w:p w14:paraId="318D9240" w14:textId="724985F7" w:rsidR="00DC71B8" w:rsidRDefault="00DC71B8" w:rsidP="00C8601A">
      <w:pPr>
        <w:ind w:firstLine="720"/>
      </w:pPr>
      <w:r>
        <w:t>Colocando Yd em evidência temos</w:t>
      </w:r>
      <w:r w:rsidR="008D1D03">
        <w:t>:</w:t>
      </w:r>
      <w:r>
        <w:t xml:space="preserve"> </w:t>
      </w:r>
    </w:p>
    <w:p w14:paraId="25EBAC93" w14:textId="1758AC41" w:rsidR="00331380" w:rsidRDefault="00DC71B8" w:rsidP="00DC71B8">
      <w:pPr>
        <w:pStyle w:val="PargrafodaLista"/>
      </w:pPr>
      <w:r>
        <w:t>f) Yd (1 – c</w:t>
      </w:r>
      <w:r w:rsidR="00C8601A">
        <w:t xml:space="preserve"> </w:t>
      </w:r>
      <w:r>
        <w:t>Yd)</w:t>
      </w:r>
      <w:r w:rsidR="00331380">
        <w:t xml:space="preserve"> </w:t>
      </w:r>
      <w:r>
        <w:t>= X</w:t>
      </w:r>
      <w:r w:rsidR="00476E9F">
        <w:t xml:space="preserve">; </w:t>
      </w:r>
    </w:p>
    <w:p w14:paraId="58462DD2" w14:textId="607087F5" w:rsidR="00476E9F" w:rsidRDefault="00476E9F" w:rsidP="00DC71B8">
      <w:pPr>
        <w:pStyle w:val="PargrafodaLista"/>
      </w:pPr>
      <w:r>
        <w:t>Isolando Yd novamente chegamos à equação final:</w:t>
      </w:r>
    </w:p>
    <w:p w14:paraId="7F3E6284" w14:textId="0A56ED22" w:rsidR="00DC71B8" w:rsidRDefault="00DC71B8" w:rsidP="00DC71B8">
      <w:pPr>
        <w:pStyle w:val="PargrafodaLista"/>
      </w:pPr>
      <w:r>
        <w:t>g) Yd = X / (1 – c)</w:t>
      </w:r>
    </w:p>
    <w:p w14:paraId="58B26EEB" w14:textId="06CD901D" w:rsidR="00A45DB1" w:rsidRDefault="00A45DB1" w:rsidP="00DC71B8">
      <w:pPr>
        <w:ind w:firstLine="709"/>
      </w:pPr>
      <w:r>
        <w:t>A</w:t>
      </w:r>
      <w:r w:rsidR="00C8601A">
        <w:t xml:space="preserve"> equação </w:t>
      </w:r>
      <w:r w:rsidR="00476E9F">
        <w:t>“g”,</w:t>
      </w:r>
      <w:r>
        <w:t xml:space="preserve"> nos informa</w:t>
      </w:r>
      <w:r w:rsidR="00C8601A">
        <w:t xml:space="preserve"> que a renda disponível Yd </w:t>
      </w:r>
      <w:r w:rsidR="00476E9F">
        <w:t xml:space="preserve">de uma economia local-regional </w:t>
      </w:r>
      <w:r>
        <w:t>que não produz seus bens de capital e cujo governo tem circunscrições de financiamento e gasto é</w:t>
      </w:r>
      <w:r w:rsidR="00476E9F">
        <w:t xml:space="preserve"> função direta e virtualmente exclusiva do </w:t>
      </w:r>
      <w:r w:rsidR="00DC71B8">
        <w:t>valor das exportações</w:t>
      </w:r>
      <w:r w:rsidR="00C8601A">
        <w:rPr>
          <w:rStyle w:val="Refdenotaderodap"/>
        </w:rPr>
        <w:footnoteReference w:id="6"/>
      </w:r>
      <w:r w:rsidR="00C8601A">
        <w:t>.</w:t>
      </w:r>
      <w:r w:rsidR="00DC71B8">
        <w:t xml:space="preserve"> </w:t>
      </w:r>
      <w:r w:rsidR="00C8601A">
        <w:t xml:space="preserve">Mas, se a equação é legítima, cabe perguntar: </w:t>
      </w:r>
      <w:r w:rsidR="00C8601A" w:rsidRPr="00A45DB1">
        <w:rPr>
          <w:b/>
        </w:rPr>
        <w:t xml:space="preserve">quais são as principais </w:t>
      </w:r>
      <w:r w:rsidR="00476E9F">
        <w:rPr>
          <w:b/>
        </w:rPr>
        <w:t>“</w:t>
      </w:r>
      <w:r w:rsidR="00C8601A" w:rsidRPr="00A45DB1">
        <w:rPr>
          <w:b/>
        </w:rPr>
        <w:t>exportações</w:t>
      </w:r>
      <w:r w:rsidR="00476E9F">
        <w:rPr>
          <w:b/>
        </w:rPr>
        <w:t>”</w:t>
      </w:r>
      <w:r w:rsidR="00C8601A" w:rsidRPr="00A45DB1">
        <w:rPr>
          <w:b/>
        </w:rPr>
        <w:t xml:space="preserve"> de Maringá?</w:t>
      </w:r>
      <w:r>
        <w:rPr>
          <w:b/>
        </w:rPr>
        <w:t xml:space="preserve"> </w:t>
      </w:r>
      <w:r w:rsidRPr="00A45DB1">
        <w:rPr>
          <w:b/>
        </w:rPr>
        <w:t>O</w:t>
      </w:r>
      <w:r w:rsidR="0015367F" w:rsidRPr="00A45DB1">
        <w:rPr>
          <w:b/>
        </w:rPr>
        <w:t xml:space="preserve"> que é que Maringá </w:t>
      </w:r>
      <w:r w:rsidR="00476E9F">
        <w:rPr>
          <w:b/>
        </w:rPr>
        <w:t>“</w:t>
      </w:r>
      <w:r w:rsidR="0015367F" w:rsidRPr="00A45DB1">
        <w:rPr>
          <w:b/>
        </w:rPr>
        <w:t>exporta</w:t>
      </w:r>
      <w:r w:rsidR="00476E9F">
        <w:rPr>
          <w:b/>
        </w:rPr>
        <w:t>”</w:t>
      </w:r>
      <w:r w:rsidR="0015367F" w:rsidRPr="00A45DB1">
        <w:rPr>
          <w:b/>
        </w:rPr>
        <w:t>?</w:t>
      </w:r>
      <w:r w:rsidR="0015367F">
        <w:t xml:space="preserve"> </w:t>
      </w:r>
      <w:r>
        <w:t xml:space="preserve">... </w:t>
      </w:r>
    </w:p>
    <w:p w14:paraId="12A46983" w14:textId="5D124F74" w:rsidR="0015367F" w:rsidRDefault="00A45DB1" w:rsidP="00DC71B8">
      <w:pPr>
        <w:ind w:firstLine="709"/>
      </w:pPr>
      <w:r>
        <w:t>Maringá conta com alguns setores industriais que são exportadores</w:t>
      </w:r>
      <w:r w:rsidR="00476E9F">
        <w:t xml:space="preserve"> em sentido estrito</w:t>
      </w:r>
      <w:r>
        <w:t xml:space="preserve">. Em especial, os segmentos de vestuário e um núcleo de atividades agroindustriais. Mas Maringá é, acima de tudo, uma cidade de Serviços. E ela </w:t>
      </w:r>
      <w:r w:rsidR="00476E9F">
        <w:t>“</w:t>
      </w:r>
      <w:r>
        <w:t>exporta</w:t>
      </w:r>
      <w:r w:rsidR="00476E9F">
        <w:t>”</w:t>
      </w:r>
      <w:r>
        <w:t xml:space="preserve"> Serviços</w:t>
      </w:r>
      <w:r w:rsidR="0015367F">
        <w:t xml:space="preserve">! </w:t>
      </w:r>
      <w:r>
        <w:t xml:space="preserve">Ocorre, contudo, que os </w:t>
      </w:r>
      <w:r w:rsidR="0015367F" w:rsidRPr="00476E9F">
        <w:rPr>
          <w:b/>
        </w:rPr>
        <w:t xml:space="preserve">serviços não são </w:t>
      </w:r>
      <w:proofErr w:type="spellStart"/>
      <w:r w:rsidR="0015367F" w:rsidRPr="00476E9F">
        <w:rPr>
          <w:b/>
          <w:i/>
        </w:rPr>
        <w:t>tradables</w:t>
      </w:r>
      <w:proofErr w:type="spellEnd"/>
      <w:r w:rsidRPr="00476E9F">
        <w:rPr>
          <w:b/>
        </w:rPr>
        <w:t xml:space="preserve"> - vale dizer, não são transportáveis! -</w:t>
      </w:r>
      <w:r w:rsidR="0015367F" w:rsidRPr="00476E9F">
        <w:rPr>
          <w:b/>
        </w:rPr>
        <w:t xml:space="preserve"> e, portanto, não são exportáveis </w:t>
      </w:r>
      <w:r w:rsidRPr="00476E9F">
        <w:rPr>
          <w:b/>
        </w:rPr>
        <w:t xml:space="preserve">no sentido mais </w:t>
      </w:r>
      <w:r w:rsidR="0015367F" w:rsidRPr="00476E9F">
        <w:rPr>
          <w:b/>
        </w:rPr>
        <w:t>estrito</w:t>
      </w:r>
      <w:r w:rsidRPr="00476E9F">
        <w:rPr>
          <w:b/>
        </w:rPr>
        <w:t xml:space="preserve"> do termo.</w:t>
      </w:r>
      <w:r w:rsidR="0015367F" w:rsidRPr="00476E9F">
        <w:rPr>
          <w:b/>
        </w:rPr>
        <w:t xml:space="preserve"> </w:t>
      </w:r>
      <w:r w:rsidRPr="00476E9F">
        <w:rPr>
          <w:b/>
        </w:rPr>
        <w:t>A exportação de serviços é, na verdade, a “importação dos</w:t>
      </w:r>
      <w:r w:rsidR="0015367F" w:rsidRPr="00476E9F">
        <w:rPr>
          <w:b/>
        </w:rPr>
        <w:t xml:space="preserve"> clientes”</w:t>
      </w:r>
      <w:r w:rsidRPr="00476E9F">
        <w:rPr>
          <w:b/>
        </w:rPr>
        <w:t xml:space="preserve"> que os demandam</w:t>
      </w:r>
      <w:r w:rsidR="0015367F" w:rsidRPr="00476E9F">
        <w:rPr>
          <w:b/>
        </w:rPr>
        <w:t>,</w:t>
      </w:r>
      <w:r w:rsidR="0015367F" w:rsidRPr="0015367F">
        <w:t xml:space="preserve"> </w:t>
      </w:r>
      <w:r>
        <w:t xml:space="preserve">dos clientes </w:t>
      </w:r>
      <w:r w:rsidR="0015367F" w:rsidRPr="0015367F">
        <w:t>que</w:t>
      </w:r>
      <w:r>
        <w:t xml:space="preserve"> moram no entorno de Maringá e que – por não contarem com sistemas urbanos de qualidade e complexidade similar –</w:t>
      </w:r>
      <w:r w:rsidR="0015367F" w:rsidRPr="0015367F">
        <w:t xml:space="preserve"> deslocam</w:t>
      </w:r>
      <w:r>
        <w:t>-se até esta cidade e</w:t>
      </w:r>
      <w:r w:rsidR="0015367F" w:rsidRPr="0015367F">
        <w:t xml:space="preserve">m busca dos </w:t>
      </w:r>
      <w:r>
        <w:t xml:space="preserve">mesmos. </w:t>
      </w:r>
      <w:r w:rsidRPr="00A45DB1">
        <w:rPr>
          <w:b/>
        </w:rPr>
        <w:t>Vale dizer: s</w:t>
      </w:r>
      <w:r w:rsidR="0015367F" w:rsidRPr="00A45DB1">
        <w:rPr>
          <w:b/>
        </w:rPr>
        <w:t>ão os compradores do entorno que garantem o saldo líquido das transações de Maringá com o exterior, são eles que garantem os recursos necessários à realização das importações do município. São estes clientes, portanto, que impulsionam a economia maringaense e são a condição de seu crescimento.</w:t>
      </w:r>
      <w:r w:rsidR="0015367F">
        <w:t xml:space="preserve"> </w:t>
      </w:r>
    </w:p>
    <w:p w14:paraId="66652983" w14:textId="5B9D74F2" w:rsidR="00F7376F" w:rsidRDefault="00A45DB1" w:rsidP="005947A7">
      <w:pPr>
        <w:ind w:firstLine="709"/>
        <w:rPr>
          <w:b/>
        </w:rPr>
      </w:pPr>
      <w:r>
        <w:lastRenderedPageBreak/>
        <w:t xml:space="preserve">E quando dizemos “condição de crescimento” </w:t>
      </w:r>
      <w:r w:rsidR="005947A7">
        <w:t xml:space="preserve">estamos sendo cientificamente rigorosos: </w:t>
      </w:r>
      <w:r w:rsidR="0015367F">
        <w:t>uma cidade de serviços não pode driblar um</w:t>
      </w:r>
      <w:r w:rsidR="0015367F" w:rsidRPr="0015367F">
        <w:t xml:space="preserve">a eventual depressão ou </w:t>
      </w:r>
      <w:r w:rsidR="0015367F">
        <w:t xml:space="preserve">estagnação da demanda </w:t>
      </w:r>
      <w:r w:rsidR="0015367F" w:rsidRPr="0015367F">
        <w:t>regi</w:t>
      </w:r>
      <w:r w:rsidR="005947A7">
        <w:t xml:space="preserve">onal pela conquista de mercados </w:t>
      </w:r>
      <w:r w:rsidR="0015367F">
        <w:t xml:space="preserve">longínquos, </w:t>
      </w:r>
      <w:r w:rsidR="005947A7">
        <w:t>mercados distantes</w:t>
      </w:r>
      <w:r w:rsidR="0015367F" w:rsidRPr="0015367F">
        <w:t>.</w:t>
      </w:r>
      <w:r w:rsidR="0015367F">
        <w:t xml:space="preserve"> </w:t>
      </w:r>
      <w:r w:rsidR="0015367F">
        <w:rPr>
          <w:b/>
        </w:rPr>
        <w:t>A</w:t>
      </w:r>
      <w:r w:rsidR="0015367F" w:rsidRPr="004D613B">
        <w:rPr>
          <w:b/>
        </w:rPr>
        <w:t xml:space="preserve"> elevação da demanda pelos Serviços de um polo regional é função do dinamismo econômico da região atendida pelo mesmo</w:t>
      </w:r>
      <w:r w:rsidR="0015367F">
        <w:t xml:space="preserve">. </w:t>
      </w:r>
      <w:r w:rsidR="0015367F" w:rsidRPr="0015367F">
        <w:rPr>
          <w:b/>
        </w:rPr>
        <w:t xml:space="preserve">O que nos leva a uma conclusão necessária: qualquer política consistente e sustentável de promoção do desenvolvimento de Maringá passa, necessariamente, pela identificação e apoio ao desenvolvimento – com geração de emprego e renda – dos municípios do entorno, polarizados pela Cidade Canção. </w:t>
      </w:r>
    </w:p>
    <w:p w14:paraId="7E7BC67B" w14:textId="45C83827" w:rsidR="00065894" w:rsidRPr="00CB28E0" w:rsidRDefault="00065894" w:rsidP="00CB28E0">
      <w:pPr>
        <w:pStyle w:val="PargrafodaLista"/>
        <w:numPr>
          <w:ilvl w:val="0"/>
          <w:numId w:val="1"/>
        </w:numPr>
        <w:spacing w:after="120"/>
        <w:ind w:left="0" w:firstLine="709"/>
        <w:outlineLvl w:val="0"/>
        <w:rPr>
          <w:sz w:val="28"/>
          <w:szCs w:val="28"/>
        </w:rPr>
      </w:pPr>
      <w:bookmarkStart w:id="4" w:name="_Toc11765180"/>
      <w:r w:rsidRPr="00CB28E0">
        <w:rPr>
          <w:sz w:val="28"/>
          <w:szCs w:val="28"/>
        </w:rPr>
        <w:t>A questão da Região de Influência e de Solidariedade Econômica de Maringá (RISEM)</w:t>
      </w:r>
      <w:bookmarkEnd w:id="4"/>
    </w:p>
    <w:p w14:paraId="42684D1C" w14:textId="278CAE93" w:rsidR="005947A7" w:rsidRDefault="00065894" w:rsidP="00476E9F">
      <w:pPr>
        <w:spacing w:after="120"/>
        <w:ind w:firstLine="709"/>
        <w:contextualSpacing/>
      </w:pPr>
      <w:r>
        <w:t xml:space="preserve">Ao longo da segunda seção </w:t>
      </w:r>
      <w:r w:rsidR="00D800F3" w:rsidRPr="00D800F3">
        <w:t>nos referi</w:t>
      </w:r>
      <w:r>
        <w:t xml:space="preserve">mos </w:t>
      </w:r>
      <w:r w:rsidR="00D800F3" w:rsidRPr="00D800F3">
        <w:t xml:space="preserve">à “Grande Região de Maringá” </w:t>
      </w:r>
      <w:r>
        <w:t xml:space="preserve">(GRM) </w:t>
      </w:r>
      <w:r w:rsidR="00D800F3" w:rsidRPr="00D800F3">
        <w:t>como se esta fosse uma referência regional consolidada. Não</w:t>
      </w:r>
      <w:r>
        <w:t xml:space="preserve"> é o caso. E</w:t>
      </w:r>
      <w:r w:rsidR="00D800F3" w:rsidRPr="00D800F3">
        <w:t xml:space="preserve">la é apenas a regionalização adotada no </w:t>
      </w:r>
      <w:r w:rsidR="00D800F3" w:rsidRPr="00A53C4A">
        <w:rPr>
          <w:b/>
          <w:bCs/>
        </w:rPr>
        <w:t>“Anuário de Economia 2018-2019 da Grande Região de Maringá”</w:t>
      </w:r>
      <w:r w:rsidR="00482711">
        <w:rPr>
          <w:rStyle w:val="Refdenotaderodap"/>
          <w:b/>
          <w:bCs/>
        </w:rPr>
        <w:footnoteReference w:id="7"/>
      </w:r>
      <w:r w:rsidR="00D800F3" w:rsidRPr="00D800F3">
        <w:t xml:space="preserve">. </w:t>
      </w:r>
      <w:r w:rsidRPr="00065894">
        <w:rPr>
          <w:bCs/>
        </w:rPr>
        <w:t>Esta</w:t>
      </w:r>
      <w:r w:rsidR="00D800F3" w:rsidRPr="00065894">
        <w:rPr>
          <w:bCs/>
        </w:rPr>
        <w:t xml:space="preserve"> </w:t>
      </w:r>
      <w:r w:rsidRPr="00065894">
        <w:rPr>
          <w:bCs/>
        </w:rPr>
        <w:t xml:space="preserve">região </w:t>
      </w:r>
      <w:r w:rsidR="00D800F3" w:rsidRPr="00065894">
        <w:rPr>
          <w:bCs/>
        </w:rPr>
        <w:t xml:space="preserve">é muito </w:t>
      </w:r>
      <w:r w:rsidR="00D800F3" w:rsidRPr="00476E9F">
        <w:rPr>
          <w:b/>
          <w:bCs/>
        </w:rPr>
        <w:t>similar</w:t>
      </w:r>
      <w:r w:rsidR="00D800F3" w:rsidRPr="00065894">
        <w:rPr>
          <w:bCs/>
        </w:rPr>
        <w:t xml:space="preserve"> à estrutura da Região Metropolitana de Maringá em 2005</w:t>
      </w:r>
      <w:r w:rsidR="00476E9F">
        <w:t xml:space="preserve"> (representada na Figura 1, abaixo)</w:t>
      </w:r>
      <w:r w:rsidRPr="00065894">
        <w:t xml:space="preserve"> </w:t>
      </w:r>
      <w:r>
        <w:t xml:space="preserve">Mas difere da mesma na medida em que a GRM incorpora o município de </w:t>
      </w:r>
      <w:proofErr w:type="spellStart"/>
      <w:r>
        <w:t>Ourizona</w:t>
      </w:r>
      <w:proofErr w:type="spellEnd"/>
      <w:r>
        <w:t xml:space="preserve"> e deixa de fora o município de Itambé, que fazia parte da Região Metropolitana desde</w:t>
      </w:r>
      <w:r w:rsidR="00F05808">
        <w:t xml:space="preserve"> 2005.</w:t>
      </w:r>
    </w:p>
    <w:p w14:paraId="5957A5DF" w14:textId="59C67DE8" w:rsidR="00A53C4A" w:rsidRPr="005947A7" w:rsidRDefault="00A53C4A" w:rsidP="005947A7">
      <w:pPr>
        <w:spacing w:after="120"/>
        <w:contextualSpacing/>
        <w:jc w:val="center"/>
      </w:pPr>
      <w:r w:rsidRPr="005947A7">
        <w:rPr>
          <w:noProof/>
          <w:lang w:val="en-US"/>
        </w:rPr>
        <w:drawing>
          <wp:inline distT="0" distB="0" distL="0" distR="0" wp14:anchorId="37A8E59B" wp14:editId="10A5448F">
            <wp:extent cx="3891068" cy="3064483"/>
            <wp:effectExtent l="0" t="0" r="0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36" cy="308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90FF7" w14:textId="6CFDBA62" w:rsidR="00A53C4A" w:rsidRPr="005947A7" w:rsidRDefault="005947A7" w:rsidP="005947A7">
      <w:pPr>
        <w:tabs>
          <w:tab w:val="left" w:pos="3640"/>
          <w:tab w:val="center" w:pos="4532"/>
        </w:tabs>
        <w:spacing w:after="120"/>
        <w:contextualSpacing/>
        <w:jc w:val="left"/>
        <w:rPr>
          <w:sz w:val="20"/>
          <w:szCs w:val="20"/>
        </w:rPr>
      </w:pPr>
      <w:r w:rsidRPr="005947A7">
        <w:rPr>
          <w:sz w:val="20"/>
          <w:szCs w:val="20"/>
        </w:rPr>
        <w:tab/>
      </w:r>
      <w:r w:rsidRPr="005947A7">
        <w:rPr>
          <w:sz w:val="20"/>
          <w:szCs w:val="20"/>
        </w:rPr>
        <w:tab/>
      </w:r>
      <w:r w:rsidR="00A53C4A" w:rsidRPr="005947A7">
        <w:rPr>
          <w:sz w:val="20"/>
          <w:szCs w:val="20"/>
        </w:rPr>
        <w:t>Fonte: Silva (2008).</w:t>
      </w:r>
    </w:p>
    <w:p w14:paraId="7131A061" w14:textId="77777777" w:rsidR="00482711" w:rsidRDefault="00482711" w:rsidP="00482711">
      <w:pPr>
        <w:spacing w:after="120"/>
        <w:contextualSpacing/>
      </w:pPr>
    </w:p>
    <w:p w14:paraId="25317926" w14:textId="44A332EC" w:rsidR="00482711" w:rsidRDefault="00482711" w:rsidP="00482711">
      <w:pPr>
        <w:spacing w:after="120"/>
        <w:ind w:firstLine="709"/>
      </w:pPr>
      <w:r>
        <w:t xml:space="preserve">A Região Metropolitana de Maringá, por sua vez, vem sofrendo </w:t>
      </w:r>
      <w:r w:rsidR="00A53C4A">
        <w:t>contínuas alterações d</w:t>
      </w:r>
      <w:r>
        <w:t>e suas fronteiras, com a incorporação de um número crescente de municípios</w:t>
      </w:r>
      <w:r w:rsidR="00A53C4A">
        <w:t>. Criada</w:t>
      </w:r>
      <w:r w:rsidR="00FA3453">
        <w:t xml:space="preserve"> pela Lei Complementar Estadual 83</w:t>
      </w:r>
      <w:r w:rsidR="00A53C4A">
        <w:t xml:space="preserve"> em 1998</w:t>
      </w:r>
      <w:r w:rsidR="00FA3453">
        <w:t>.</w:t>
      </w:r>
      <w:r w:rsidR="00A53C4A">
        <w:t xml:space="preserve"> </w:t>
      </w:r>
      <w:r w:rsidR="00FA3453">
        <w:t>E</w:t>
      </w:r>
      <w:r w:rsidR="00A53C4A">
        <w:t xml:space="preserve">la contava, então, com oito municípios (Ângulo, </w:t>
      </w:r>
      <w:proofErr w:type="spellStart"/>
      <w:r w:rsidR="00A53C4A">
        <w:t>Iguaraçu</w:t>
      </w:r>
      <w:proofErr w:type="spellEnd"/>
      <w:r w:rsidR="00A53C4A">
        <w:t>, Mandaguaçu, Mandaguari, Marialva, Maringá, Paiçandu e Sarandi). Em 2002, foi incluído o município de Floresta</w:t>
      </w:r>
      <w:r w:rsidR="00FA3453">
        <w:t xml:space="preserve"> </w:t>
      </w:r>
      <w:r w:rsidR="00FA3453" w:rsidRPr="00FA3453">
        <w:t xml:space="preserve">pela Lei Nº 13.5655. E em 2005, através da Lei Complementar Nº 110, houve a inclusão de mais cinco municípios na Região Metropolitana de Maringá: Floresta, Dr. Camargo, Itambé e </w:t>
      </w:r>
      <w:proofErr w:type="spellStart"/>
      <w:r w:rsidR="00FA3453" w:rsidRPr="00FA3453">
        <w:t>Ivatuba</w:t>
      </w:r>
      <w:proofErr w:type="spellEnd"/>
      <w:r w:rsidR="00FA3453" w:rsidRPr="00FA3453">
        <w:t>.</w:t>
      </w:r>
      <w:r w:rsidR="00F05808">
        <w:t xml:space="preserve"> </w:t>
      </w:r>
      <w:r w:rsidR="00A53C4A">
        <w:t>Des</w:t>
      </w:r>
      <w:r>
        <w:t>de então, vem incorporando novas</w:t>
      </w:r>
      <w:r w:rsidR="00A53C4A">
        <w:t xml:space="preserve"> </w:t>
      </w:r>
      <w:r>
        <w:t xml:space="preserve">municipalidades em distintos momentos e, </w:t>
      </w:r>
      <w:r w:rsidR="00A53C4A">
        <w:t>de acordo com o site do Fórum Nacio</w:t>
      </w:r>
      <w:r>
        <w:t>nal de Entidades Metropolitanas</w:t>
      </w:r>
      <w:r w:rsidR="00A53C4A">
        <w:t xml:space="preserve"> </w:t>
      </w:r>
      <w:r>
        <w:t>(</w:t>
      </w:r>
      <w:r w:rsidR="00A53C4A">
        <w:t>http://fnembrasil.org/regiao-metropolitana-de-maringa-pr/)</w:t>
      </w:r>
      <w:r>
        <w:t>,</w:t>
      </w:r>
      <w:r w:rsidR="00A53C4A">
        <w:t xml:space="preserve"> conta </w:t>
      </w:r>
      <w:r>
        <w:t xml:space="preserve">hoje </w:t>
      </w:r>
      <w:r w:rsidR="00A53C4A">
        <w:t xml:space="preserve">com </w:t>
      </w:r>
      <w:r>
        <w:t xml:space="preserve">um total de </w:t>
      </w:r>
      <w:r w:rsidR="00A53C4A">
        <w:t xml:space="preserve">26 municípios. Não obstante, tramita na Assembleia Legislativa do Estado do Paraná projeto de lei para incorporar </w:t>
      </w:r>
      <w:r>
        <w:t>oito novos municípios à região.</w:t>
      </w:r>
    </w:p>
    <w:p w14:paraId="4570078D" w14:textId="4F00170D" w:rsidR="00A53C4A" w:rsidRDefault="00A53C4A" w:rsidP="00482711">
      <w:pPr>
        <w:spacing w:after="120"/>
        <w:ind w:firstLine="709"/>
      </w:pPr>
      <w:r>
        <w:t xml:space="preserve">Quer nos parecer que, tanto a instabilidade das fronteiras da Região Metropolitana de Maringá, quanto </w:t>
      </w:r>
      <w:r w:rsidR="00FA3453">
        <w:t>à</w:t>
      </w:r>
      <w:r>
        <w:t xml:space="preserve"> inconsistência desta regionalização com aquela que referencia o Anuário de Economia supra-referido, sejam expressões distintas de um mesmo fenômeno: </w:t>
      </w:r>
      <w:r w:rsidRPr="004F7532">
        <w:rPr>
          <w:b/>
        </w:rPr>
        <w:t>a ausência de critérios claros e economicamente consistentes para a determinação da área de influência e de solidariedade dinâmica de Maringá com os municípios do entorno</w:t>
      </w:r>
      <w:r>
        <w:t xml:space="preserve">. Tal fato transparece quando observamos a área </w:t>
      </w:r>
      <w:proofErr w:type="spellStart"/>
      <w:r>
        <w:t>conurbada</w:t>
      </w:r>
      <w:proofErr w:type="spellEnd"/>
      <w:r>
        <w:t xml:space="preserve"> de Maringá, que definiria sua região metropolitana em sentido mais estrito. </w:t>
      </w:r>
    </w:p>
    <w:p w14:paraId="3DA4F76A" w14:textId="5DE54157" w:rsidR="00D96321" w:rsidRDefault="00D96321" w:rsidP="00482711">
      <w:pPr>
        <w:spacing w:after="0" w:line="240" w:lineRule="auto"/>
        <w:jc w:val="center"/>
      </w:pPr>
      <w:r>
        <w:t>Figura 2: Imagem de Satélite de Maringá e Região Entorno</w:t>
      </w:r>
    </w:p>
    <w:p w14:paraId="78235310" w14:textId="54E2812F" w:rsidR="00A53C4A" w:rsidRDefault="00A53C4A" w:rsidP="00482711">
      <w:pPr>
        <w:spacing w:after="0" w:line="240" w:lineRule="auto"/>
        <w:jc w:val="center"/>
      </w:pPr>
      <w:r w:rsidRPr="00BA1276">
        <w:rPr>
          <w:noProof/>
          <w:lang w:val="en-US"/>
        </w:rPr>
        <w:drawing>
          <wp:inline distT="0" distB="0" distL="0" distR="0" wp14:anchorId="5B3F1EFE" wp14:editId="3D9B31EE">
            <wp:extent cx="5515149" cy="2971800"/>
            <wp:effectExtent l="0" t="0" r="952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32" cy="29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2BB79" w14:textId="400275A7" w:rsidR="00D053E4" w:rsidRPr="00D96321" w:rsidRDefault="00D96321" w:rsidP="00482711">
      <w:pPr>
        <w:spacing w:after="0" w:line="240" w:lineRule="auto"/>
        <w:jc w:val="center"/>
        <w:rPr>
          <w:sz w:val="20"/>
          <w:szCs w:val="20"/>
        </w:rPr>
      </w:pPr>
      <w:r w:rsidRPr="00D96321">
        <w:rPr>
          <w:sz w:val="20"/>
          <w:szCs w:val="20"/>
        </w:rPr>
        <w:t>Fonte: Google Earth (Imagem capturada do site em 12 de junho de 2019)</w:t>
      </w:r>
    </w:p>
    <w:p w14:paraId="0074E3BD" w14:textId="77777777" w:rsidR="00D053E4" w:rsidRDefault="00D053E4" w:rsidP="00482711">
      <w:pPr>
        <w:spacing w:after="120"/>
        <w:ind w:firstLine="709"/>
        <w:jc w:val="center"/>
      </w:pPr>
    </w:p>
    <w:p w14:paraId="79042355" w14:textId="4E071685" w:rsidR="003F2B30" w:rsidRDefault="00D96321" w:rsidP="00482711">
      <w:pPr>
        <w:spacing w:after="120"/>
        <w:ind w:firstLine="709"/>
      </w:pPr>
      <w:r>
        <w:t>Tal como podemos observar na Figura 2, acima, em sentido estrito</w:t>
      </w:r>
      <w:r w:rsidR="000B478E">
        <w:t>,</w:t>
      </w:r>
      <w:r>
        <w:t xml:space="preserve"> a </w:t>
      </w:r>
      <w:r w:rsidR="000B478E">
        <w:t xml:space="preserve">conurbação nucleada por Maringá envolve, para além da área urbana deste município, as sedes de Sarandi, Paiçandu e (de forma menos marcada, mas crescente) </w:t>
      </w:r>
      <w:r w:rsidR="003F2B30">
        <w:t xml:space="preserve">de </w:t>
      </w:r>
      <w:r w:rsidR="000B478E">
        <w:t xml:space="preserve">Marialva. </w:t>
      </w:r>
      <w:r w:rsidR="003F2B30">
        <w:t xml:space="preserve">As limitações de área e população desta conurbação parecem encontrar-se na base da classificação pelo IBGE da Área de Concentração de População (ACP) de Maringá como Capital Regional de Nível B (por oposição a Metrópole ou, mesmo, como Capital Regional de Nível A). </w:t>
      </w:r>
      <w:r w:rsidR="00482711">
        <w:t xml:space="preserve">Vale dizer: para o IBGE, Maringá não é propriamente uma Metrópole e a ACP nucleada por este município é significativamente menor do que </w:t>
      </w:r>
      <w:r w:rsidR="003F2B30">
        <w:t xml:space="preserve">a </w:t>
      </w:r>
      <w:r w:rsidR="00482711">
        <w:t xml:space="preserve">atual Região Metropolitana de Maringá. </w:t>
      </w:r>
    </w:p>
    <w:p w14:paraId="2F7EDA3E" w14:textId="214DB97F" w:rsidR="00467BA5" w:rsidRDefault="00467BA5" w:rsidP="00482711">
      <w:pPr>
        <w:spacing w:after="120"/>
        <w:ind w:firstLine="709"/>
      </w:pPr>
      <w:r>
        <w:t>P</w:t>
      </w:r>
      <w:r w:rsidR="00596B06">
        <w:t>ara além das duas regionalizações já referidas – a GRM, do Anuário 2018-2019; e a Região Metropolitana de Maringá – há todo um conjunto de regionalizações políticas e administrativas com os mais diversos recortes. E esta diversidade é tão corriqueira quanto pertinente: distintos objetos e temas impõem recortes regionais distintos, baseados em critérios igualmente distintos (tais como as bacias hidrográficas, a história política e cultural associada ao processo de colonização, distribuição geográfica de escritórios e sedes-regionais de órgã</w:t>
      </w:r>
      <w:r>
        <w:t>o</w:t>
      </w:r>
      <w:r w:rsidR="00B351B6">
        <w:t>s</w:t>
      </w:r>
      <w:r w:rsidR="00596B06">
        <w:t xml:space="preserve"> públicos fiscalizadores e reguladores, etc.). E é por isto mesmo </w:t>
      </w:r>
      <w:r>
        <w:t xml:space="preserve">– porque fins distintos impõem recortes regionais distintos - </w:t>
      </w:r>
      <w:r w:rsidR="00596B06">
        <w:t xml:space="preserve">que é preciso </w:t>
      </w:r>
      <w:r>
        <w:t xml:space="preserve">construir </w:t>
      </w:r>
      <w:r w:rsidR="00596B06">
        <w:t xml:space="preserve">a regionalização </w:t>
      </w:r>
      <w:r>
        <w:t xml:space="preserve">pertinente ao </w:t>
      </w:r>
      <w:r w:rsidR="00596B06">
        <w:t xml:space="preserve">planejamento do desenvolvimento socioeconômico </w:t>
      </w:r>
      <w:r>
        <w:t xml:space="preserve">da Região de Influência de Maringá. </w:t>
      </w:r>
    </w:p>
    <w:p w14:paraId="059D73A8" w14:textId="77777777" w:rsidR="001F77F0" w:rsidRDefault="00426393" w:rsidP="00482711">
      <w:pPr>
        <w:spacing w:after="120"/>
        <w:ind w:firstLine="709"/>
      </w:pPr>
      <w:r>
        <w:t>Ora, o Departamento de Geografia do IBGE tem, entre suas funções, justamente a determinação da Região de Influência das Cidades. E</w:t>
      </w:r>
      <w:r w:rsidR="00065894">
        <w:t xml:space="preserve"> e</w:t>
      </w:r>
      <w:r>
        <w:t>sta determinação tem por base uma ampla pesquisa de campo, com levantamento de dados primários e sistematização de dados secundários.</w:t>
      </w:r>
      <w:r w:rsidR="00065894">
        <w:t xml:space="preserve"> O que nos traz uma conclusão impositiva: a</w:t>
      </w:r>
      <w:r>
        <w:t xml:space="preserve"> pesquisa e as regionalizações propostas pelo IBGE devem ser o ponto de partida de uma regionalização científica para o Planejamento do Desenvolvimento Regional (doravante, PDR). </w:t>
      </w:r>
    </w:p>
    <w:p w14:paraId="44267017" w14:textId="5E5D71D7" w:rsidR="001F77F0" w:rsidRDefault="00426393" w:rsidP="001F77F0">
      <w:pPr>
        <w:ind w:firstLine="709"/>
        <w:rPr>
          <w:rFonts w:cs="Times New Roman"/>
        </w:rPr>
      </w:pPr>
      <w:r>
        <w:t>Mas se o material do IBGE</w:t>
      </w:r>
      <w:r w:rsidR="001F77F0">
        <w:t xml:space="preserve"> é tão rico, porque não tomá-lo – e a regionalização que se extrai do mesmo – imediatamente como referência para o que estamos chamando de “</w:t>
      </w:r>
      <w:r w:rsidR="001F77F0">
        <w:rPr>
          <w:rFonts w:cs="Times New Roman"/>
        </w:rPr>
        <w:t xml:space="preserve">Região de Influência e de Solidariedade Econômica de Maringá” (RISEM)? Em primeiro lugar, porque a inclusão da expressão “Solidariedade Econômica” não é gratuita: </w:t>
      </w:r>
      <w:r w:rsidR="001F77F0" w:rsidRPr="001F77F0">
        <w:rPr>
          <w:rFonts w:cs="Times New Roman"/>
          <w:b/>
        </w:rPr>
        <w:t>queremos identificar aquela região cujo desempenho econômico afeta diretamente o desempenho econômico de Maringá.</w:t>
      </w:r>
      <w:r w:rsidR="001F77F0">
        <w:rPr>
          <w:rFonts w:cs="Times New Roman"/>
        </w:rPr>
        <w:t xml:space="preserve"> E este </w:t>
      </w:r>
      <w:r w:rsidR="001F77F0" w:rsidRPr="001F77F0">
        <w:rPr>
          <w:rFonts w:cs="Times New Roman"/>
          <w:b/>
        </w:rPr>
        <w:t>não</w:t>
      </w:r>
      <w:r w:rsidR="001F77F0">
        <w:rPr>
          <w:rFonts w:cs="Times New Roman"/>
        </w:rPr>
        <w:t xml:space="preserve"> é o objetivo do IBGE. Seus objetivos são: 1) sistematizar </w:t>
      </w:r>
      <w:r w:rsidR="001F77F0">
        <w:rPr>
          <w:rFonts w:cs="Times New Roman"/>
        </w:rPr>
        <w:lastRenderedPageBreak/>
        <w:t xml:space="preserve">as relações e </w:t>
      </w:r>
      <w:r w:rsidR="005144FE">
        <w:rPr>
          <w:rFonts w:cs="Times New Roman"/>
        </w:rPr>
        <w:t xml:space="preserve">determinar </w:t>
      </w:r>
      <w:r w:rsidR="001F77F0">
        <w:rPr>
          <w:rFonts w:cs="Times New Roman"/>
        </w:rPr>
        <w:t xml:space="preserve">os sistemas de redes urbanas no Brasil; 2) constituir um novo </w:t>
      </w:r>
      <w:r w:rsidR="005144FE">
        <w:rPr>
          <w:rFonts w:cs="Times New Roman"/>
        </w:rPr>
        <w:t xml:space="preserve">padrão </w:t>
      </w:r>
      <w:r w:rsidR="001F77F0">
        <w:rPr>
          <w:rFonts w:cs="Times New Roman"/>
        </w:rPr>
        <w:t xml:space="preserve">de regionalização com base nestas relações e redes. </w:t>
      </w:r>
      <w:r w:rsidR="00D55909">
        <w:rPr>
          <w:rFonts w:cs="Times New Roman"/>
        </w:rPr>
        <w:t xml:space="preserve">Estes dois objetivos estão articulados e vão se manifestar num esforço de hierarquização das influências urbanas. Assim, um município que se encontra próximo de dois polos e cuja economia é, efetivamente, </w:t>
      </w:r>
      <w:proofErr w:type="spellStart"/>
      <w:r w:rsidR="00D55909">
        <w:rPr>
          <w:rFonts w:cs="Times New Roman"/>
        </w:rPr>
        <w:t>bipolarizada</w:t>
      </w:r>
      <w:proofErr w:type="spellEnd"/>
      <w:r w:rsidR="00D55909">
        <w:rPr>
          <w:rFonts w:cs="Times New Roman"/>
        </w:rPr>
        <w:t>, acaba por ser incluído num único recorte territorial. As consequências podem ser observadas nas quatro figuras reproduzidas abaixo.</w:t>
      </w:r>
    </w:p>
    <w:p w14:paraId="376D7F3F" w14:textId="2F43ED2E" w:rsidR="00BE0BAB" w:rsidRDefault="00D55909" w:rsidP="00476E9F">
      <w:pPr>
        <w:ind w:firstLine="709"/>
        <w:rPr>
          <w:rFonts w:cs="Times New Roman"/>
        </w:rPr>
      </w:pPr>
      <w:r>
        <w:rPr>
          <w:rFonts w:cs="Times New Roman"/>
        </w:rPr>
        <w:t>Tal como podemos observar pela compara</w:t>
      </w:r>
      <w:r w:rsidR="00FF61D2">
        <w:rPr>
          <w:rFonts w:cs="Times New Roman"/>
        </w:rPr>
        <w:t>ção entre as Figuras 3 e 4, as Re</w:t>
      </w:r>
      <w:r>
        <w:rPr>
          <w:rFonts w:cs="Times New Roman"/>
        </w:rPr>
        <w:t xml:space="preserve">des </w:t>
      </w:r>
      <w:r w:rsidR="00FF61D2">
        <w:rPr>
          <w:rFonts w:cs="Times New Roman"/>
        </w:rPr>
        <w:t xml:space="preserve">definidoras das áreas de influência de Maringá e Londrina foram definidas de tal forma que, se uma cidade exerce uma função de polarização mais forte do que a outra, as relações subordinadas deixam de ser registradas. Assim, a despeito da proximidade geográfica e da existência de uma forte interação econômica, política e cultural de Maringá com Apucarana, o fato das pesquisas identificarem uma relação mais forte deste último município com Londrina levam à abstração das relações do mesmo com a Cidade Canção. E isto não é só: Apucarana é classificado com um polo de segunda grandeza, que tem, sob sua influência cidades que - como Jandaia do Sul – estão situadas a oeste de sua sede e bastante próximas a Maringá. Mas como Apucarana é </w:t>
      </w:r>
      <w:r w:rsidR="00FF43C8">
        <w:rPr>
          <w:rFonts w:cs="Times New Roman"/>
        </w:rPr>
        <w:t>polarizada (prioritariamente) por Londrina e Jandaia é polarizada por Apucarana, os elos entre Maringá e Jandaia são como que “apagados” da regionalização do IBGE pelo critério de “Influência das Cidades”.</w:t>
      </w:r>
    </w:p>
    <w:p w14:paraId="5C31B6D2" w14:textId="5CE42508" w:rsidR="00D55909" w:rsidRDefault="00D55909" w:rsidP="00D55909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</w:rPr>
        <w:t xml:space="preserve">Figura 3: Rede de Influência de Maringá </w:t>
      </w:r>
    </w:p>
    <w:p w14:paraId="728E8910" w14:textId="55E85473" w:rsidR="00D55909" w:rsidRDefault="00D55909" w:rsidP="00D55909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  <w:noProof/>
          <w:lang w:val="en-US"/>
        </w:rPr>
        <w:drawing>
          <wp:inline distT="0" distB="0" distL="0" distR="0" wp14:anchorId="4CFC9725" wp14:editId="200D2B52">
            <wp:extent cx="5537675" cy="3114675"/>
            <wp:effectExtent l="0" t="0" r="6350" b="0"/>
            <wp:docPr id="6" name="Imagem 1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197" cy="311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D1D87" w14:textId="49869820" w:rsidR="00D55909" w:rsidRPr="00D55909" w:rsidRDefault="00D55909" w:rsidP="00D55909">
      <w:pPr>
        <w:spacing w:after="0" w:line="240" w:lineRule="auto"/>
        <w:jc w:val="center"/>
        <w:rPr>
          <w:rFonts w:cs="Times New Roman"/>
          <w:sz w:val="20"/>
          <w:szCs w:val="20"/>
        </w:rPr>
      </w:pPr>
      <w:r w:rsidRPr="00D55909">
        <w:rPr>
          <w:rFonts w:cs="Times New Roman"/>
          <w:sz w:val="20"/>
          <w:szCs w:val="20"/>
        </w:rPr>
        <w:t>Fonte: REGIC</w:t>
      </w:r>
      <w:r>
        <w:rPr>
          <w:rFonts w:cs="Times New Roman"/>
          <w:sz w:val="20"/>
          <w:szCs w:val="20"/>
        </w:rPr>
        <w:t>-IBGE</w:t>
      </w:r>
      <w:r w:rsidRPr="00D55909">
        <w:rPr>
          <w:rFonts w:cs="Times New Roman"/>
          <w:sz w:val="20"/>
          <w:szCs w:val="20"/>
        </w:rPr>
        <w:t xml:space="preserve"> (2007)</w:t>
      </w:r>
    </w:p>
    <w:p w14:paraId="1D89B291" w14:textId="77777777" w:rsidR="00D55909" w:rsidRDefault="00D55909" w:rsidP="00D55909">
      <w:pPr>
        <w:spacing w:after="0" w:line="240" w:lineRule="auto"/>
        <w:rPr>
          <w:rFonts w:cs="Times New Roman"/>
        </w:rPr>
      </w:pPr>
    </w:p>
    <w:p w14:paraId="0FFC7D65" w14:textId="77777777" w:rsidR="00D55909" w:rsidRDefault="00D55909" w:rsidP="00FF43C8">
      <w:pPr>
        <w:spacing w:after="0" w:line="240" w:lineRule="auto"/>
        <w:rPr>
          <w:rFonts w:cs="Times New Roman"/>
        </w:rPr>
      </w:pPr>
    </w:p>
    <w:p w14:paraId="46943812" w14:textId="02D797FA" w:rsidR="00D55909" w:rsidRDefault="00D55909" w:rsidP="00D55909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</w:rPr>
        <w:t>Figura 4: Rede de Influência de Londrina</w:t>
      </w:r>
    </w:p>
    <w:p w14:paraId="3F37EABF" w14:textId="372D34D7" w:rsidR="00D55909" w:rsidRDefault="00D55909" w:rsidP="00D55909">
      <w:pPr>
        <w:spacing w:after="0" w:line="240" w:lineRule="auto"/>
        <w:jc w:val="center"/>
        <w:rPr>
          <w:rFonts w:cs="Times New Roman"/>
        </w:rPr>
      </w:pPr>
      <w:r>
        <w:rPr>
          <w:rFonts w:cs="Times New Roman"/>
          <w:noProof/>
          <w:lang w:val="en-US"/>
        </w:rPr>
        <w:drawing>
          <wp:inline distT="0" distB="0" distL="0" distR="0" wp14:anchorId="5C50FDE3" wp14:editId="5E5C0A68">
            <wp:extent cx="5572230" cy="3133725"/>
            <wp:effectExtent l="0" t="0" r="9525" b="0"/>
            <wp:docPr id="7" name="Imagem 2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666" cy="314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93D8E" w14:textId="52DF17BB" w:rsidR="00467BA5" w:rsidRPr="00476E9F" w:rsidRDefault="00D55909" w:rsidP="00476E9F">
      <w:pPr>
        <w:spacing w:after="0" w:line="240" w:lineRule="auto"/>
        <w:jc w:val="center"/>
        <w:rPr>
          <w:rFonts w:cs="Times New Roman"/>
          <w:sz w:val="20"/>
          <w:szCs w:val="20"/>
        </w:rPr>
      </w:pPr>
      <w:r w:rsidRPr="00D55909">
        <w:rPr>
          <w:rFonts w:cs="Times New Roman"/>
          <w:sz w:val="20"/>
          <w:szCs w:val="20"/>
        </w:rPr>
        <w:t>Fonte: REGIC</w:t>
      </w:r>
      <w:r>
        <w:rPr>
          <w:rFonts w:cs="Times New Roman"/>
          <w:sz w:val="20"/>
          <w:szCs w:val="20"/>
        </w:rPr>
        <w:t>-IBGE</w:t>
      </w:r>
      <w:r w:rsidRPr="00D55909">
        <w:rPr>
          <w:rFonts w:cs="Times New Roman"/>
          <w:sz w:val="20"/>
          <w:szCs w:val="20"/>
        </w:rPr>
        <w:t xml:space="preserve"> (2007)</w:t>
      </w:r>
    </w:p>
    <w:p w14:paraId="5AA390A7" w14:textId="0E6AE16C" w:rsidR="00BE0BAB" w:rsidRDefault="00FF43C8" w:rsidP="00FA3453">
      <w:pPr>
        <w:spacing w:after="120"/>
        <w:ind w:firstLine="709"/>
      </w:pPr>
      <w:r>
        <w:t xml:space="preserve">Ao fim e ao cabo, dada a proximidade entre Londrina e Maringá, pelos critérios do IBGE, a região desta última cidade acaba por situar-se essencialmente </w:t>
      </w:r>
      <w:r w:rsidR="00FA3453">
        <w:t>a</w:t>
      </w:r>
      <w:r>
        <w:t xml:space="preserve"> oeste de sua sede (excetuados os municípios mais próximos e em crescente processo de conurbação, como Sarandi, Marialva e Mandaguari). É o que se observa na Figura 5 abaixo.</w:t>
      </w:r>
    </w:p>
    <w:p w14:paraId="0617EF2C" w14:textId="7EB75778" w:rsidR="00FF43C8" w:rsidRDefault="00FF43C8" w:rsidP="00FF43C8">
      <w:pPr>
        <w:spacing w:after="0" w:line="240" w:lineRule="auto"/>
        <w:jc w:val="center"/>
      </w:pPr>
      <w:r>
        <w:t>Figura 5: Regiões de Influência de Maringá e Londrina</w:t>
      </w:r>
    </w:p>
    <w:p w14:paraId="755E2715" w14:textId="60C2AD69" w:rsidR="00FF43C8" w:rsidRDefault="00FF43C8" w:rsidP="00FF43C8">
      <w:pPr>
        <w:spacing w:after="0" w:line="240" w:lineRule="auto"/>
        <w:jc w:val="center"/>
      </w:pPr>
      <w:r>
        <w:rPr>
          <w:rFonts w:cs="Times New Roman"/>
          <w:noProof/>
          <w:lang w:val="en-US"/>
        </w:rPr>
        <w:drawing>
          <wp:inline distT="0" distB="0" distL="0" distR="0" wp14:anchorId="2783901B" wp14:editId="5B93DF01">
            <wp:extent cx="3693565" cy="3017233"/>
            <wp:effectExtent l="0" t="0" r="0" b="5715"/>
            <wp:docPr id="8" name="Imagem 6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00"/>
                    <a:stretch/>
                  </pic:blipFill>
                  <pic:spPr bwMode="auto">
                    <a:xfrm>
                      <a:off x="0" y="0"/>
                      <a:ext cx="3694501" cy="301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2820C" w14:textId="77777777" w:rsidR="00FF43C8" w:rsidRPr="00D55909" w:rsidRDefault="00FF43C8" w:rsidP="00FF43C8">
      <w:pPr>
        <w:spacing w:after="0" w:line="240" w:lineRule="auto"/>
        <w:jc w:val="center"/>
        <w:rPr>
          <w:rFonts w:cs="Times New Roman"/>
          <w:sz w:val="20"/>
          <w:szCs w:val="20"/>
        </w:rPr>
      </w:pPr>
      <w:r w:rsidRPr="00D55909">
        <w:rPr>
          <w:rFonts w:cs="Times New Roman"/>
          <w:sz w:val="20"/>
          <w:szCs w:val="20"/>
        </w:rPr>
        <w:t>Fonte: REGIC</w:t>
      </w:r>
      <w:r>
        <w:rPr>
          <w:rFonts w:cs="Times New Roman"/>
          <w:sz w:val="20"/>
          <w:szCs w:val="20"/>
        </w:rPr>
        <w:t>-IBGE</w:t>
      </w:r>
      <w:r w:rsidRPr="00D55909">
        <w:rPr>
          <w:rFonts w:cs="Times New Roman"/>
          <w:sz w:val="20"/>
          <w:szCs w:val="20"/>
        </w:rPr>
        <w:t xml:space="preserve"> (2007)</w:t>
      </w:r>
    </w:p>
    <w:p w14:paraId="380E4D63" w14:textId="77777777" w:rsidR="00FF43C8" w:rsidRDefault="00FF43C8" w:rsidP="00FF43C8">
      <w:pPr>
        <w:spacing w:after="120"/>
        <w:ind w:firstLine="709"/>
        <w:jc w:val="center"/>
      </w:pPr>
    </w:p>
    <w:p w14:paraId="3DD746C0" w14:textId="77777777" w:rsidR="008D2F28" w:rsidRDefault="00FF43C8" w:rsidP="00482711">
      <w:pPr>
        <w:spacing w:after="120"/>
        <w:ind w:firstLine="709"/>
      </w:pPr>
      <w:r>
        <w:lastRenderedPageBreak/>
        <w:t xml:space="preserve">O Norte do Paraná foi dividido em duas grandes regiões de influência: a região azul escura, corresponde à região de Maringá; a região azul claro, a região </w:t>
      </w:r>
      <w:r w:rsidR="008D2F28">
        <w:t xml:space="preserve">de Londrina. De acordo com estes critérios, os vínculos de Maringá com Loanda, Nova Londrina e Santa Isabel do Ivaí seriam mais fortes do que os elos com Apucarana, Jandaia, </w:t>
      </w:r>
      <w:proofErr w:type="spellStart"/>
      <w:r w:rsidR="008D2F28">
        <w:t>Cambira</w:t>
      </w:r>
      <w:proofErr w:type="spellEnd"/>
      <w:r w:rsidR="008D2F28">
        <w:t xml:space="preserve"> e São José do Ivaí. </w:t>
      </w:r>
    </w:p>
    <w:p w14:paraId="7D77C6D5" w14:textId="3F8D8A92" w:rsidR="00D96321" w:rsidRDefault="008D2F28" w:rsidP="00482711">
      <w:pPr>
        <w:spacing w:after="120"/>
        <w:ind w:firstLine="709"/>
      </w:pPr>
      <w:r>
        <w:t xml:space="preserve">Talvez, esta regionalização seja pertinente para os critérios e funções que o IBGE atribui à regionalização. Mas, com certeza, ela não corresponde à regionalização mais adequada quando se trata de avaliar a Solidariedade Econômica dos municípios. </w:t>
      </w:r>
    </w:p>
    <w:p w14:paraId="1F518200" w14:textId="1F868E0C" w:rsidR="00D053E4" w:rsidRPr="00CB28E0" w:rsidRDefault="00D053E4" w:rsidP="009D529C">
      <w:pPr>
        <w:pStyle w:val="PargrafodaLista"/>
        <w:numPr>
          <w:ilvl w:val="0"/>
          <w:numId w:val="1"/>
        </w:numPr>
        <w:spacing w:after="120"/>
        <w:ind w:left="0" w:firstLine="709"/>
        <w:outlineLvl w:val="0"/>
        <w:rPr>
          <w:sz w:val="28"/>
          <w:szCs w:val="28"/>
        </w:rPr>
      </w:pPr>
      <w:bookmarkStart w:id="5" w:name="_Toc11765181"/>
      <w:r w:rsidRPr="00CB28E0">
        <w:rPr>
          <w:sz w:val="28"/>
          <w:szCs w:val="28"/>
        </w:rPr>
        <w:t>Metodologia</w:t>
      </w:r>
      <w:r w:rsidR="008D2F28" w:rsidRPr="00CB28E0">
        <w:rPr>
          <w:sz w:val="28"/>
          <w:szCs w:val="28"/>
        </w:rPr>
        <w:t xml:space="preserve"> de Identificação da RISEM</w:t>
      </w:r>
      <w:bookmarkEnd w:id="5"/>
    </w:p>
    <w:p w14:paraId="565360AF" w14:textId="2B1DB03C" w:rsidR="00E00ED6" w:rsidRDefault="00E00ED6" w:rsidP="00482711">
      <w:pPr>
        <w:spacing w:after="120"/>
        <w:ind w:firstLine="709"/>
      </w:pPr>
      <w:r>
        <w:t>O ponto de partida da determinação da Região de Influência e Solidariedade Econômica de Ma</w:t>
      </w:r>
      <w:r w:rsidR="00BE0BAB">
        <w:t>r</w:t>
      </w:r>
      <w:r>
        <w:t xml:space="preserve">ingá (RISEM) é o banco de dados da Diretoria de Geografia do IBGE. Este banco de dados foi tornado público recentemente e conta com informações valiosas. É bem verdade que ele </w:t>
      </w:r>
      <w:r w:rsidR="00FE52EC">
        <w:t>se encontra</w:t>
      </w:r>
      <w:r>
        <w:t xml:space="preserve"> relativamente defasado. O IBGE está atualizando o REGIC de 2007 com base em nova pesquisa (realizada em 2017) e cujos dados ainda não foram divulgados. Isto nos obrigará a buscar fontes complementares ao Banco de Dados do IBGE. Porém,</w:t>
      </w:r>
      <w:r w:rsidR="00BE0BAB">
        <w:t xml:space="preserve"> dados</w:t>
      </w:r>
      <w:r>
        <w:t xml:space="preserve"> os objetivos específicos (e menos ambiciosos) deste projeto de pesquisa, não teremos de replicar (com vistas a atualizar) toda a pesquisa do IBGE. A atualização do banco de dados será menos abrangente e terá </w:t>
      </w:r>
      <w:r w:rsidR="00BE0BAB">
        <w:t>cinco</w:t>
      </w:r>
      <w:r>
        <w:t xml:space="preserve"> focos centrais: </w:t>
      </w:r>
    </w:p>
    <w:p w14:paraId="5967E469" w14:textId="3DEC44F0" w:rsidR="00DD1E5C" w:rsidRDefault="00DD1E5C" w:rsidP="00DD1E5C">
      <w:pPr>
        <w:pStyle w:val="PargrafodaLista"/>
        <w:numPr>
          <w:ilvl w:val="0"/>
          <w:numId w:val="11"/>
        </w:numPr>
        <w:spacing w:after="120"/>
      </w:pPr>
      <w:r>
        <w:t>Fluxo diário de passageiros entre Maringá e os municípios do entorno (com ênfase no transporte rodoviário por ônibus, sejam por linhas, sejam fretados);</w:t>
      </w:r>
    </w:p>
    <w:p w14:paraId="1F7574C1" w14:textId="2C1D8E2B" w:rsidR="00DD1E5C" w:rsidRDefault="00DD1E5C" w:rsidP="00DD1E5C">
      <w:pPr>
        <w:pStyle w:val="PargrafodaLista"/>
        <w:numPr>
          <w:ilvl w:val="0"/>
          <w:numId w:val="11"/>
        </w:numPr>
        <w:spacing w:after="120"/>
      </w:pPr>
      <w:r>
        <w:t>Origem das Matérias-Primas e destino dos Produtos Finais das cadeias industriais propulsivas de Maringá (com ênfase na Agroindústria e Vestuário);</w:t>
      </w:r>
    </w:p>
    <w:p w14:paraId="118883C4" w14:textId="77777777" w:rsidR="00DD1E5C" w:rsidRDefault="00DD1E5C" w:rsidP="00DD1E5C">
      <w:pPr>
        <w:pStyle w:val="PargrafodaLista"/>
        <w:numPr>
          <w:ilvl w:val="0"/>
          <w:numId w:val="11"/>
        </w:numPr>
        <w:spacing w:after="120"/>
      </w:pPr>
      <w:r>
        <w:t xml:space="preserve"> Origem dos usuários não domiciliados dos sistemas de serviços de complexidade superior sediados em Maringá (com ênfase em Educação, Saúde, Finanças e Consultorias Empresariais Técnicas e Administrativas); </w:t>
      </w:r>
    </w:p>
    <w:p w14:paraId="690918C8" w14:textId="5269E677" w:rsidR="00D61548" w:rsidRDefault="00DD1E5C" w:rsidP="00DD1E5C">
      <w:pPr>
        <w:pStyle w:val="PargrafodaLista"/>
        <w:numPr>
          <w:ilvl w:val="0"/>
          <w:numId w:val="11"/>
        </w:numPr>
        <w:spacing w:after="120"/>
      </w:pPr>
      <w:r>
        <w:t>Origem dos usuários não domiciliados do Sistema de Transporte e Lo</w:t>
      </w:r>
      <w:r w:rsidR="00D61548">
        <w:t xml:space="preserve">gística de Maringá (com ênfase nos sistemas de </w:t>
      </w:r>
      <w:r>
        <w:t xml:space="preserve">cargas e </w:t>
      </w:r>
      <w:r w:rsidR="00D61548">
        <w:t>no sistema aeroviário);</w:t>
      </w:r>
    </w:p>
    <w:p w14:paraId="3B699397" w14:textId="3FFC7038" w:rsidR="00D61548" w:rsidRDefault="00D61548" w:rsidP="00DD1E5C">
      <w:pPr>
        <w:pStyle w:val="PargrafodaLista"/>
        <w:numPr>
          <w:ilvl w:val="0"/>
          <w:numId w:val="11"/>
        </w:numPr>
        <w:spacing w:after="120"/>
      </w:pPr>
      <w:r>
        <w:t>Área de abrangência e prestação de serviços das empresas de Construção Civil sediadas em Maringá.</w:t>
      </w:r>
    </w:p>
    <w:p w14:paraId="39879501" w14:textId="072281F7" w:rsidR="00460B8C" w:rsidRDefault="00D61548" w:rsidP="00AE3BE3">
      <w:pPr>
        <w:spacing w:after="120"/>
        <w:ind w:firstLine="709"/>
      </w:pPr>
      <w:r>
        <w:t>O conjunto dos dados levantados ser</w:t>
      </w:r>
      <w:r w:rsidR="00FA3453">
        <w:t>á</w:t>
      </w:r>
      <w:r>
        <w:t xml:space="preserve"> trabalhado com vistas a definir uma hierarquia de</w:t>
      </w:r>
      <w:r w:rsidR="00FB761A">
        <w:t xml:space="preserve"> vínculos; vale dizer: emergirá</w:t>
      </w:r>
      <w:r>
        <w:t xml:space="preserve"> </w:t>
      </w:r>
      <w:r w:rsidR="00FB761A">
        <w:t>uma única “RISEM</w:t>
      </w:r>
      <w:r>
        <w:t xml:space="preserve">”, </w:t>
      </w:r>
      <w:r w:rsidR="00FB761A">
        <w:t xml:space="preserve">mas organizada em camadas (como uma cebola). Afinal, os vínculos dos municípios mais próximos </w:t>
      </w:r>
      <w:r>
        <w:t>(como Sarandi, por exem</w:t>
      </w:r>
      <w:r w:rsidR="00FB761A">
        <w:t xml:space="preserve">plo) </w:t>
      </w:r>
      <w:r w:rsidR="00FB761A">
        <w:lastRenderedPageBreak/>
        <w:t>são</w:t>
      </w:r>
      <w:r>
        <w:t xml:space="preserve"> mais intensos do que os vínculos </w:t>
      </w:r>
      <w:r w:rsidR="00FB761A">
        <w:t>com municípios mais distantes (como,</w:t>
      </w:r>
      <w:r w:rsidR="00AE3BE3">
        <w:t xml:space="preserve"> Jandaia do Sul</w:t>
      </w:r>
      <w:r>
        <w:t xml:space="preserve">). </w:t>
      </w:r>
      <w:r w:rsidR="00FB761A">
        <w:t xml:space="preserve">Além disso, </w:t>
      </w:r>
      <w:r w:rsidR="00AE3BE3">
        <w:t xml:space="preserve">é preciso lembrar que os vínculos relevantes quando se trata de avaliar a solidariedade econômica e a capacidade de estimular a dinâmica de um território </w:t>
      </w:r>
      <w:r w:rsidR="00AE3BE3" w:rsidRPr="00AE3BE3">
        <w:rPr>
          <w:b/>
        </w:rPr>
        <w:t>não</w:t>
      </w:r>
      <w:r w:rsidR="00AE3BE3">
        <w:t xml:space="preserve"> podem ser mensurados em termos relativos ou “per capita”. Mesmo que a intensidade dos vínculos </w:t>
      </w:r>
      <w:r w:rsidR="00AE3BE3" w:rsidRPr="00AE3BE3">
        <w:rPr>
          <w:b/>
        </w:rPr>
        <w:t>“per capita”</w:t>
      </w:r>
      <w:r w:rsidR="00AE3BE3">
        <w:t xml:space="preserve"> dos domiciliados em Paiçandu seja maior do que os domiciliados em Apucarana, é possível que os vínculos </w:t>
      </w:r>
      <w:r w:rsidR="00AE3BE3" w:rsidRPr="00AE3BE3">
        <w:rPr>
          <w:b/>
        </w:rPr>
        <w:t>absolutos</w:t>
      </w:r>
      <w:r w:rsidR="00AE3BE3">
        <w:t xml:space="preserve"> (vale dizer: o valor das trocas econômicas realizadas) entre Maringá e Apucarana sejam mais expressivos. </w:t>
      </w:r>
      <w:r w:rsidR="00460B8C">
        <w:t xml:space="preserve">Tal como num sistema gravitacional, a influência é diretamente proporcional às massas e inversamente proporcional à distância. </w:t>
      </w:r>
    </w:p>
    <w:p w14:paraId="582990A2" w14:textId="32660101" w:rsidR="0099007C" w:rsidRDefault="00460B8C" w:rsidP="00AE3BE3">
      <w:pPr>
        <w:spacing w:after="120"/>
        <w:ind w:firstLine="709"/>
      </w:pPr>
      <w:r>
        <w:t xml:space="preserve">Um ponto que deve ser anunciado desde já é que a regionalização resultante será, necessariamente distintas das regionalizações consolidadas e politicamente acordadas. E isto porque as regionalizações político-administrativas tomam como critério organizador a </w:t>
      </w:r>
      <w:proofErr w:type="spellStart"/>
      <w:r>
        <w:t>excludência</w:t>
      </w:r>
      <w:proofErr w:type="spellEnd"/>
      <w:r>
        <w:t xml:space="preserve">: se Apucarana encontra-se na região de Londrina, então ela não poderá encontrar-se na região de Maringá. Este é um critério válido e pertinente para regionalizações administrativas. Mas a RISEM só é “administrativa” num sentido peculiar: ela deverá nortear planos e ações comuns com vistas ao desenvolvimento </w:t>
      </w:r>
      <w:r w:rsidR="003B7588">
        <w:t xml:space="preserve">de </w:t>
      </w:r>
      <w:r>
        <w:t xml:space="preserve">organizações da Sociedade Civil dos distintos municípios. Assim, </w:t>
      </w:r>
      <w:r w:rsidR="00AE3BE3">
        <w:t xml:space="preserve">não há porque excluir da RISEM aqueles municípios que </w:t>
      </w:r>
      <w:r w:rsidR="00AE3BE3" w:rsidRPr="00460B8C">
        <w:rPr>
          <w:b/>
        </w:rPr>
        <w:t>também</w:t>
      </w:r>
      <w:r w:rsidR="00AE3BE3">
        <w:t xml:space="preserve"> são </w:t>
      </w:r>
      <w:r>
        <w:t>polarizado</w:t>
      </w:r>
      <w:r w:rsidR="00FA3453">
        <w:t>s</w:t>
      </w:r>
      <w:r>
        <w:t xml:space="preserve"> por</w:t>
      </w:r>
      <w:r w:rsidR="00D61548">
        <w:t xml:space="preserve"> Londrina</w:t>
      </w:r>
      <w:r>
        <w:t>, por exemplo</w:t>
      </w:r>
      <w:r w:rsidR="00AE3BE3">
        <w:t xml:space="preserve">. Mesmo que a polarização de Londrina seja mais intensa que a de Maringá, se as relações econômicas e a interdependência dinâmica de Maringá com o município </w:t>
      </w:r>
      <w:r w:rsidR="00FA3453">
        <w:t>bi polarizado</w:t>
      </w:r>
      <w:r w:rsidR="00AE3BE3">
        <w:t xml:space="preserve"> forem intensas, ele d</w:t>
      </w:r>
      <w:r>
        <w:t>everá ingressar na RISEM com sua importância e solidariedade devidamente hierarquizada</w:t>
      </w:r>
      <w:r w:rsidR="0099007C">
        <w:t xml:space="preserve">. </w:t>
      </w:r>
    </w:p>
    <w:p w14:paraId="57FC87A5" w14:textId="2FEDBE97" w:rsidR="0099007C" w:rsidRDefault="00460B8C" w:rsidP="0099007C">
      <w:pPr>
        <w:spacing w:after="120"/>
        <w:ind w:firstLine="709"/>
      </w:pPr>
      <w:r>
        <w:t xml:space="preserve">Na verdade, deverá entrar na versão preliminar e estritamente técnica da RISEM. </w:t>
      </w:r>
      <w:r w:rsidR="0099007C">
        <w:t>A segunda etapa da pesquisa envolverá a discussão da regionalização obtida com a sociedade civil organizada de Maringá representada pelo CODEM</w:t>
      </w:r>
      <w:r w:rsidR="00AE3BE3">
        <w:t xml:space="preserve">. </w:t>
      </w:r>
      <w:r w:rsidR="0099007C">
        <w:t>Ali, apresentaremos os critérios e os resultados preliminares. A expectativa é a de receber informações complementares e realizar a avaliação dos custos e benefícios (inclusive, mas não exclusivamente, políticos) de manter ou alterar a regionalização preliminar. Além disso, será discutido o recorte que deverá predominar. Afinal, como já dissemos, a intensidade da solidariedade econômica é variável, de sorte que teremos distintas possibilidades de RISEM. Isto equivale a dizer – insistamos –</w:t>
      </w:r>
      <w:r w:rsidR="00FB761A">
        <w:t xml:space="preserve"> que, por definição, não há uma única RISEM, mas distintas camadas de influência e atração gravitacional. A definição do recorte regional a ser tomado por referência vai depender do interesse das lideranças políticas e empresariais maringaenses e dos municípios do entorno de </w:t>
      </w:r>
      <w:r w:rsidR="00FB761A">
        <w:lastRenderedPageBreak/>
        <w:t>utilizarem a regionalização como referência para a construção de projetos articulados e solidários de desenvolvimento.</w:t>
      </w:r>
    </w:p>
    <w:p w14:paraId="1467C586" w14:textId="77777777" w:rsidR="00D053E4" w:rsidRDefault="00D053E4" w:rsidP="00482711">
      <w:pPr>
        <w:spacing w:after="120"/>
        <w:ind w:firstLine="709"/>
      </w:pPr>
    </w:p>
    <w:p w14:paraId="6C117091" w14:textId="77777777" w:rsidR="00D053E4" w:rsidRPr="00D94346" w:rsidRDefault="00D053E4" w:rsidP="009D529C">
      <w:pPr>
        <w:pStyle w:val="PargrafodaLista"/>
        <w:numPr>
          <w:ilvl w:val="0"/>
          <w:numId w:val="1"/>
        </w:numPr>
        <w:spacing w:after="120"/>
        <w:ind w:left="0" w:firstLine="709"/>
        <w:outlineLvl w:val="0"/>
        <w:rPr>
          <w:sz w:val="28"/>
          <w:szCs w:val="28"/>
        </w:rPr>
      </w:pPr>
      <w:bookmarkStart w:id="6" w:name="_Toc11765182"/>
      <w:r>
        <w:rPr>
          <w:sz w:val="28"/>
          <w:szCs w:val="28"/>
        </w:rPr>
        <w:t>Orçamento</w:t>
      </w:r>
      <w:bookmarkEnd w:id="6"/>
    </w:p>
    <w:p w14:paraId="5C26109C" w14:textId="43F8E53D" w:rsidR="00D0049B" w:rsidRDefault="00D0049B" w:rsidP="00482711">
      <w:pPr>
        <w:spacing w:after="120"/>
        <w:ind w:firstLine="709"/>
      </w:pPr>
      <w:r>
        <w:t xml:space="preserve">Os produtos do projeto se dividirão em </w:t>
      </w:r>
      <w:r w:rsidR="007C1AAD">
        <w:t>5</w:t>
      </w:r>
      <w:r>
        <w:t xml:space="preserve"> etapas:</w:t>
      </w:r>
    </w:p>
    <w:p w14:paraId="2C692731" w14:textId="16B1DA77" w:rsidR="00CC4585" w:rsidRPr="00DC13C5" w:rsidRDefault="00CC4585" w:rsidP="00482711">
      <w:pPr>
        <w:pStyle w:val="PargrafodaLista"/>
        <w:numPr>
          <w:ilvl w:val="0"/>
          <w:numId w:val="6"/>
        </w:numPr>
        <w:spacing w:after="120"/>
        <w:contextualSpacing w:val="0"/>
      </w:pPr>
      <w:r w:rsidRPr="00DC13C5">
        <w:t>1) Produção e e</w:t>
      </w:r>
      <w:r w:rsidR="00D0049B" w:rsidRPr="00DC13C5">
        <w:t>ntrega d</w:t>
      </w:r>
      <w:r w:rsidR="001E4D8A" w:rsidRPr="00DC13C5">
        <w:t>o</w:t>
      </w:r>
      <w:r w:rsidRPr="00DC13C5">
        <w:t xml:space="preserve"> R</w:t>
      </w:r>
      <w:r w:rsidR="00D0049B" w:rsidRPr="00DC13C5">
        <w:t xml:space="preserve">elatório </w:t>
      </w:r>
      <w:r w:rsidRPr="00DC13C5">
        <w:t xml:space="preserve">A </w:t>
      </w:r>
      <w:r w:rsidR="00D0049B" w:rsidRPr="00DC13C5">
        <w:t xml:space="preserve">com </w:t>
      </w:r>
      <w:r w:rsidR="00476E9F" w:rsidRPr="00DC13C5">
        <w:t>uma regionalização preliminar com base nos dados secundários disponíveis no site do IBGE; em especial naqueles dados disponibilizados pela Pesquisa R</w:t>
      </w:r>
      <w:r w:rsidRPr="00DC13C5">
        <w:t>egião de Influência das Cidades (REGIC)</w:t>
      </w:r>
      <w:r w:rsidR="007C1AAD" w:rsidRPr="00DC13C5">
        <w:t xml:space="preserve">. Prazo: 40 dias. </w:t>
      </w:r>
    </w:p>
    <w:p w14:paraId="1CCF5106" w14:textId="589151A9" w:rsidR="00CC4585" w:rsidRPr="00DC13C5" w:rsidRDefault="00CC4585" w:rsidP="00482711">
      <w:pPr>
        <w:pStyle w:val="PargrafodaLista"/>
        <w:numPr>
          <w:ilvl w:val="0"/>
          <w:numId w:val="6"/>
        </w:numPr>
        <w:spacing w:after="120"/>
        <w:contextualSpacing w:val="0"/>
      </w:pPr>
      <w:r w:rsidRPr="00DC13C5">
        <w:t xml:space="preserve">2) Produção e entrega do Relatório B com os resultados da coleta de informações adicionais de base secundária e primária. Os dados primários serão obtidos a partir de visitas da equipe da Paradoxo </w:t>
      </w:r>
      <w:r w:rsidR="00DC13C5" w:rsidRPr="00DC13C5">
        <w:t>à</w:t>
      </w:r>
      <w:r w:rsidRPr="00DC13C5">
        <w:t xml:space="preserve"> Maringá e entrevistas com lideranças empresaria</w:t>
      </w:r>
      <w:r w:rsidR="00DC13C5">
        <w:t>i</w:t>
      </w:r>
      <w:r w:rsidRPr="00DC13C5">
        <w:t>s das principais cadeias “exportadoras” do município. Entendemos que o levantamento primário de informações deve ser objeto de sistematização e disponibilização de seus principais resultados na forma de um relatório específico. E isto porque os ajustes feitos à regionalização preliminar estarão baseados nestes resultados. E a pertinência dos ajustes só poderão ser avaliadas pelo CODEM se a instituição estiver de posse das informações coletadas e sistematizadas pela consultoria.</w:t>
      </w:r>
      <w:r w:rsidR="007C1AAD" w:rsidRPr="00DC13C5">
        <w:t xml:space="preserve"> Prazo: 80 dias;</w:t>
      </w:r>
    </w:p>
    <w:p w14:paraId="7E4548A7" w14:textId="0D4035BF" w:rsidR="00CC4585" w:rsidRPr="00DC13C5" w:rsidRDefault="00CC4585" w:rsidP="00482711">
      <w:pPr>
        <w:pStyle w:val="PargrafodaLista"/>
        <w:numPr>
          <w:ilvl w:val="0"/>
          <w:numId w:val="6"/>
        </w:numPr>
        <w:spacing w:after="120"/>
        <w:contextualSpacing w:val="0"/>
      </w:pPr>
      <w:r w:rsidRPr="00DC13C5">
        <w:t>3) Produção e entrega do Relatório C, com uma segunda proposta de regionalização baseada nos ajustes necessários à regionalização preliminar em função do levantamento de informações de base p</w:t>
      </w:r>
      <w:r w:rsidR="007C1AAD" w:rsidRPr="00DC13C5">
        <w:t>rimária. Prazo: 100 dias;</w:t>
      </w:r>
    </w:p>
    <w:p w14:paraId="68210E4F" w14:textId="32CF2B52" w:rsidR="00D0049B" w:rsidRPr="00DC13C5" w:rsidRDefault="00CC4585" w:rsidP="00482711">
      <w:pPr>
        <w:pStyle w:val="PargrafodaLista"/>
        <w:numPr>
          <w:ilvl w:val="0"/>
          <w:numId w:val="6"/>
        </w:numPr>
        <w:spacing w:after="120"/>
        <w:contextualSpacing w:val="0"/>
      </w:pPr>
      <w:r w:rsidRPr="00DC13C5">
        <w:t>4) Realização de um Seminário no interior do CODEM para apresentação e debate dos três Relatórios</w:t>
      </w:r>
      <w:r w:rsidR="007C1AAD" w:rsidRPr="00DC13C5">
        <w:t xml:space="preserve"> (com ênfase no “C”)</w:t>
      </w:r>
      <w:r w:rsidRPr="00DC13C5">
        <w:t xml:space="preserve">. </w:t>
      </w:r>
      <w:r w:rsidR="007C1AAD" w:rsidRPr="00DC13C5">
        <w:t xml:space="preserve">As apresentações em </w:t>
      </w:r>
      <w:proofErr w:type="spellStart"/>
      <w:r w:rsidR="007C1AAD" w:rsidRPr="00DC13C5">
        <w:t>power-point</w:t>
      </w:r>
      <w:proofErr w:type="spellEnd"/>
      <w:r w:rsidR="007C1AAD" w:rsidRPr="00DC13C5">
        <w:t xml:space="preserve"> produzidas pela consultoria e uma síntese dos debates realizados</w:t>
      </w:r>
      <w:r w:rsidRPr="00DC13C5">
        <w:t xml:space="preserve"> </w:t>
      </w:r>
      <w:r w:rsidR="007C1AAD" w:rsidRPr="00DC13C5">
        <w:t xml:space="preserve">conformarão o Relatório D. Prazo 120 dias; </w:t>
      </w:r>
    </w:p>
    <w:p w14:paraId="64E8B306" w14:textId="7E348E09" w:rsidR="004B70F8" w:rsidRPr="00DC13C5" w:rsidRDefault="007C1AAD" w:rsidP="007C1AAD">
      <w:pPr>
        <w:pStyle w:val="PargrafodaLista"/>
        <w:numPr>
          <w:ilvl w:val="0"/>
          <w:numId w:val="6"/>
        </w:numPr>
        <w:spacing w:after="120"/>
      </w:pPr>
      <w:r w:rsidRPr="00DC13C5">
        <w:t>5</w:t>
      </w:r>
      <w:r w:rsidR="00D0049B" w:rsidRPr="00DC13C5">
        <w:t>)</w:t>
      </w:r>
      <w:r w:rsidR="009D529C" w:rsidRPr="00DC13C5">
        <w:t xml:space="preserve"> </w:t>
      </w:r>
      <w:r w:rsidR="004A6D40" w:rsidRPr="00DC13C5">
        <w:t>Entrega do Relatório F</w:t>
      </w:r>
      <w:r w:rsidR="004B70F8" w:rsidRPr="00DC13C5">
        <w:t>inal</w:t>
      </w:r>
      <w:r w:rsidRPr="00DC13C5">
        <w:t xml:space="preserve"> sobre a Região de Influência e Solidarieda</w:t>
      </w:r>
      <w:r w:rsidR="00B80297" w:rsidRPr="00DC13C5">
        <w:t>de Econômica de Maringá (RISEM). Prazo: 150 dias</w:t>
      </w:r>
    </w:p>
    <w:p w14:paraId="12951446" w14:textId="77777777" w:rsidR="00B80297" w:rsidRPr="00DC13C5" w:rsidRDefault="00B80297" w:rsidP="00A11BCF">
      <w:pPr>
        <w:spacing w:after="120"/>
        <w:ind w:firstLine="709"/>
        <w:contextualSpacing/>
      </w:pPr>
    </w:p>
    <w:p w14:paraId="3B950824" w14:textId="147B8931" w:rsidR="003A32A1" w:rsidRPr="00DC13C5" w:rsidRDefault="00B80297" w:rsidP="00211B18">
      <w:pPr>
        <w:spacing w:after="120"/>
        <w:ind w:firstLine="709"/>
        <w:contextualSpacing/>
      </w:pPr>
      <w:r w:rsidRPr="00DC13C5">
        <w:lastRenderedPageBreak/>
        <w:t>NOTA IMPORTANTE SOBRE PRAZO: O período ideal para a realização do trabalho são os 5 meses apontados acima</w:t>
      </w:r>
      <w:r w:rsidR="003A32A1" w:rsidRPr="00DC13C5">
        <w:t>.</w:t>
      </w:r>
      <w:r w:rsidR="009D529C" w:rsidRPr="00DC13C5">
        <w:t xml:space="preserve"> </w:t>
      </w:r>
      <w:r w:rsidRPr="00DC13C5">
        <w:t>Não obstante, os meses de dezembro e janeiro são meses de operação atípica da Paradoxo Consultoria. As duas semanas finais de dezembro são dedicadas a atividades internas, de avaliação anual, definição de estratégias e investimentos e atualização dos bancos de dados. O mês de janeiro é de férias coletivas. Isto significa que o estudo final só poderia ser entregue ainda no ano de 2019 caso o contrato venha a ser assinado até o dia 1</w:t>
      </w:r>
      <w:r w:rsidR="00211B18" w:rsidRPr="00DC13C5">
        <w:t xml:space="preserve">8 de julho deste ano. Cientes da estreiteza do prazo para a contratação, a equipe envolvida no projeto avaliou que o estudo seria viável sem perda de qualidade (mas com o comprometimento de parcela de finais de semana) em até 135 dias (4 meses e meio). O que alargaria o prazo para assinatura até 2 de agosto próximo. Se estes prazos não puderem ser cumpridos pelo CODEM, fica entendido que o Relatório Conclusivo só poderá ser entregue em 2020. Neste caso, o prazo total mensurado como “período transcorrido” passaria a ser de 195 dias: os 150 dias de trabalho mais os 45 dias de recesso para atividades internas e férias coletivas da Paradoxo Consultoria. </w:t>
      </w:r>
    </w:p>
    <w:p w14:paraId="2289FAA8" w14:textId="396735A1" w:rsidR="009D529C" w:rsidRDefault="009D529C" w:rsidP="00A11BCF">
      <w:pPr>
        <w:spacing w:after="120"/>
        <w:ind w:firstLine="709"/>
        <w:contextualSpacing/>
      </w:pPr>
    </w:p>
    <w:p w14:paraId="7D849F7F" w14:textId="204F2906" w:rsidR="001E4D8A" w:rsidRDefault="00DC13C5" w:rsidP="00A11BCF">
      <w:pPr>
        <w:spacing w:after="120"/>
        <w:contextualSpacing/>
      </w:pPr>
      <w:r w:rsidRPr="00DC13C5">
        <w:rPr>
          <w:noProof/>
        </w:rPr>
        <w:drawing>
          <wp:inline distT="0" distB="0" distL="0" distR="0" wp14:anchorId="3D6B5DAB" wp14:editId="4C9ACB65">
            <wp:extent cx="5756275" cy="2169160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2339" w14:textId="59F6B55B" w:rsidR="00D30168" w:rsidRDefault="00D30168" w:rsidP="00A11BCF">
      <w:pPr>
        <w:spacing w:after="120"/>
        <w:contextualSpacing/>
      </w:pPr>
    </w:p>
    <w:p w14:paraId="789D0E67" w14:textId="77777777" w:rsidR="003A32A1" w:rsidRPr="00444D9B" w:rsidRDefault="003A32A1" w:rsidP="003A32A1">
      <w:pPr>
        <w:pStyle w:val="PargrafodaLista"/>
        <w:numPr>
          <w:ilvl w:val="0"/>
          <w:numId w:val="5"/>
        </w:numPr>
        <w:spacing w:after="200" w:line="276" w:lineRule="auto"/>
        <w:jc w:val="left"/>
        <w:rPr>
          <w:b/>
        </w:rPr>
      </w:pPr>
      <w:r>
        <w:rPr>
          <w:b/>
        </w:rPr>
        <w:t xml:space="preserve">Agenda de Produtos e </w:t>
      </w:r>
      <w:r w:rsidRPr="00444D9B">
        <w:rPr>
          <w:b/>
        </w:rPr>
        <w:t>Valor</w:t>
      </w:r>
      <w:r>
        <w:rPr>
          <w:b/>
        </w:rPr>
        <w:t>es</w:t>
      </w:r>
      <w:r w:rsidRPr="00444D9B">
        <w:rPr>
          <w:b/>
        </w:rPr>
        <w:t>:</w:t>
      </w:r>
    </w:p>
    <w:p w14:paraId="3C3E8EFD" w14:textId="43DA2BBA" w:rsidR="003A32A1" w:rsidRDefault="003A32A1" w:rsidP="003A32A1">
      <w:pPr>
        <w:pStyle w:val="PargrafodaLista"/>
        <w:numPr>
          <w:ilvl w:val="1"/>
          <w:numId w:val="5"/>
        </w:numPr>
        <w:spacing w:after="200" w:line="276" w:lineRule="auto"/>
        <w:jc w:val="left"/>
      </w:pPr>
      <w:r>
        <w:t>P</w:t>
      </w:r>
      <w:r w:rsidRPr="007A54B5">
        <w:t xml:space="preserve">rimeira </w:t>
      </w:r>
      <w:r>
        <w:t xml:space="preserve">parcela: </w:t>
      </w:r>
      <w:r w:rsidRPr="007A54B5">
        <w:t>n</w:t>
      </w:r>
      <w:r>
        <w:t>a assinatura do contrato - R$ 1</w:t>
      </w:r>
      <w:r w:rsidR="00DC13C5">
        <w:t>0</w:t>
      </w:r>
      <w:r>
        <w:t>.0</w:t>
      </w:r>
      <w:r w:rsidRPr="007A54B5">
        <w:t>00,00</w:t>
      </w:r>
      <w:r w:rsidR="00DC13C5">
        <w:t xml:space="preserve"> (Dez Mil Reais);</w:t>
      </w:r>
    </w:p>
    <w:p w14:paraId="47004645" w14:textId="70ADAE38" w:rsidR="003A32A1" w:rsidRPr="007A54B5" w:rsidRDefault="003A32A1" w:rsidP="003A32A1">
      <w:pPr>
        <w:pStyle w:val="PargrafodaLista"/>
        <w:numPr>
          <w:ilvl w:val="1"/>
          <w:numId w:val="5"/>
        </w:numPr>
        <w:spacing w:after="200" w:line="276" w:lineRule="auto"/>
      </w:pPr>
      <w:r>
        <w:t>S</w:t>
      </w:r>
      <w:r w:rsidRPr="007A54B5">
        <w:t xml:space="preserve">egunda </w:t>
      </w:r>
      <w:r>
        <w:t xml:space="preserve">parcela: </w:t>
      </w:r>
      <w:r w:rsidRPr="007A54B5">
        <w:t xml:space="preserve">na </w:t>
      </w:r>
      <w:r w:rsidR="00DC13C5">
        <w:t xml:space="preserve">entrega do Relatório A </w:t>
      </w:r>
      <w:r>
        <w:t xml:space="preserve">- </w:t>
      </w:r>
      <w:r w:rsidR="00DC13C5">
        <w:t>R$ 10.0</w:t>
      </w:r>
      <w:r w:rsidR="00DC13C5" w:rsidRPr="007A54B5">
        <w:t>00,00</w:t>
      </w:r>
      <w:r w:rsidR="00DC13C5">
        <w:t xml:space="preserve"> (Dez Mil Reais) </w:t>
      </w:r>
      <w:r>
        <w:t xml:space="preserve">– Prazo – </w:t>
      </w:r>
      <w:r w:rsidR="00DC13C5">
        <w:t>40 dias</w:t>
      </w:r>
      <w:r>
        <w:t xml:space="preserve"> após a assinatura do contrato</w:t>
      </w:r>
      <w:r w:rsidR="00DC13C5">
        <w:t>;</w:t>
      </w:r>
    </w:p>
    <w:p w14:paraId="7C840C6F" w14:textId="70689D38" w:rsidR="00DC13C5" w:rsidRPr="007A54B5" w:rsidRDefault="00DC13C5" w:rsidP="00DC13C5">
      <w:pPr>
        <w:pStyle w:val="PargrafodaLista"/>
        <w:numPr>
          <w:ilvl w:val="1"/>
          <w:numId w:val="5"/>
        </w:numPr>
        <w:spacing w:after="200" w:line="276" w:lineRule="auto"/>
      </w:pPr>
      <w:r>
        <w:t>Terceira</w:t>
      </w:r>
      <w:r w:rsidRPr="007A54B5">
        <w:t xml:space="preserve"> </w:t>
      </w:r>
      <w:r>
        <w:t xml:space="preserve">parcela: </w:t>
      </w:r>
      <w:r w:rsidRPr="007A54B5">
        <w:t xml:space="preserve">na </w:t>
      </w:r>
      <w:r>
        <w:t>entrega do Relatório B - R$ 10.0</w:t>
      </w:r>
      <w:r w:rsidRPr="007A54B5">
        <w:t>00,00</w:t>
      </w:r>
      <w:r>
        <w:t xml:space="preserve"> (Dez Mil Reais) – Prazo – 80 dias após a assinatura do contrato;</w:t>
      </w:r>
    </w:p>
    <w:p w14:paraId="786461A1" w14:textId="73064C88" w:rsidR="00DC13C5" w:rsidRPr="007A54B5" w:rsidRDefault="00DC13C5" w:rsidP="00DC13C5">
      <w:pPr>
        <w:pStyle w:val="PargrafodaLista"/>
        <w:numPr>
          <w:ilvl w:val="1"/>
          <w:numId w:val="5"/>
        </w:numPr>
        <w:spacing w:after="200" w:line="276" w:lineRule="auto"/>
      </w:pPr>
      <w:r>
        <w:t>Quarta</w:t>
      </w:r>
      <w:r w:rsidRPr="007A54B5">
        <w:t xml:space="preserve"> </w:t>
      </w:r>
      <w:r>
        <w:t xml:space="preserve">parcela: </w:t>
      </w:r>
      <w:r w:rsidRPr="007A54B5">
        <w:t xml:space="preserve">na </w:t>
      </w:r>
      <w:r>
        <w:t>entrega do Relatório C - R$ 10.0</w:t>
      </w:r>
      <w:r w:rsidRPr="007A54B5">
        <w:t>00,00</w:t>
      </w:r>
      <w:r>
        <w:t xml:space="preserve"> (Dez Mil Reais) – Prazo – 100 dias após a assinatura do contrato;</w:t>
      </w:r>
    </w:p>
    <w:p w14:paraId="3E025A18" w14:textId="31B918A5" w:rsidR="00DC13C5" w:rsidRPr="007A54B5" w:rsidRDefault="00DC13C5" w:rsidP="00DC13C5">
      <w:pPr>
        <w:pStyle w:val="PargrafodaLista"/>
        <w:numPr>
          <w:ilvl w:val="1"/>
          <w:numId w:val="5"/>
        </w:numPr>
        <w:spacing w:after="200" w:line="276" w:lineRule="auto"/>
      </w:pPr>
      <w:r>
        <w:lastRenderedPageBreak/>
        <w:t>Quinta</w:t>
      </w:r>
      <w:r w:rsidRPr="007A54B5">
        <w:t xml:space="preserve"> </w:t>
      </w:r>
      <w:r>
        <w:t xml:space="preserve">parcela: </w:t>
      </w:r>
      <w:r w:rsidRPr="007A54B5">
        <w:t xml:space="preserve">na </w:t>
      </w:r>
      <w:r>
        <w:t>entrega do Relatório D - R$ 10.0</w:t>
      </w:r>
      <w:r w:rsidRPr="007A54B5">
        <w:t>00,00</w:t>
      </w:r>
      <w:r>
        <w:t xml:space="preserve"> (Dez Mil Reais) – Prazo – 120 dias após a assinatura do contrato;</w:t>
      </w:r>
    </w:p>
    <w:p w14:paraId="0E1A390E" w14:textId="59A2B588" w:rsidR="003A32A1" w:rsidRDefault="00DC13C5" w:rsidP="003A32A1">
      <w:pPr>
        <w:pStyle w:val="PargrafodaLista"/>
        <w:numPr>
          <w:ilvl w:val="1"/>
          <w:numId w:val="5"/>
        </w:numPr>
        <w:spacing w:after="200" w:line="276" w:lineRule="auto"/>
        <w:jc w:val="left"/>
      </w:pPr>
      <w:r>
        <w:t xml:space="preserve">Sexta </w:t>
      </w:r>
      <w:r w:rsidR="001E4D8A">
        <w:t>parcela</w:t>
      </w:r>
      <w:r w:rsidR="003A32A1">
        <w:t xml:space="preserve">: na entrega do Relatório </w:t>
      </w:r>
      <w:r w:rsidR="00D0049B">
        <w:t>Final</w:t>
      </w:r>
      <w:r w:rsidR="003A32A1">
        <w:t xml:space="preserve"> - R$ </w:t>
      </w:r>
      <w:r w:rsidR="001E4D8A">
        <w:t>15</w:t>
      </w:r>
      <w:r w:rsidR="003A32A1">
        <w:t>.</w:t>
      </w:r>
      <w:r w:rsidR="001E4D8A">
        <w:t>0</w:t>
      </w:r>
      <w:r w:rsidR="003A32A1">
        <w:t xml:space="preserve">00,00 – Prazo: </w:t>
      </w:r>
      <w:r>
        <w:t xml:space="preserve">150 dias </w:t>
      </w:r>
      <w:r w:rsidR="003A32A1">
        <w:t>após a assinatura do contrato.</w:t>
      </w:r>
    </w:p>
    <w:p w14:paraId="3D55E53B" w14:textId="44E9AA23" w:rsidR="00D0049B" w:rsidRDefault="00714601" w:rsidP="00DC13C5">
      <w:pPr>
        <w:spacing w:after="200" w:line="276" w:lineRule="auto"/>
        <w:ind w:left="720"/>
      </w:pPr>
      <w:r>
        <w:t>Obs.: Os custos com hospedagem, alimentação e translado já estão incluídos no valor total propostos abaixo, conforme exposto na tabela acima, e estão sobre responsabilidade da Paradoxo Consultoria. Portanto não incidirá sobre o CODEM nenhuma espécie de reembolso com estes gastos.</w:t>
      </w:r>
    </w:p>
    <w:p w14:paraId="1B1F4CBB" w14:textId="7A81FFB5" w:rsidR="00A11BCF" w:rsidRPr="003A32A1" w:rsidRDefault="003A32A1" w:rsidP="003A32A1">
      <w:pPr>
        <w:pStyle w:val="PargrafodaLista"/>
        <w:numPr>
          <w:ilvl w:val="0"/>
          <w:numId w:val="5"/>
        </w:numPr>
        <w:spacing w:after="120"/>
        <w:rPr>
          <w:b/>
          <w:bCs/>
        </w:rPr>
      </w:pPr>
      <w:r w:rsidRPr="003A32A1">
        <w:rPr>
          <w:b/>
          <w:bCs/>
        </w:rPr>
        <w:t xml:space="preserve">Valor Total: R$ </w:t>
      </w:r>
      <w:r w:rsidR="00DC13C5">
        <w:rPr>
          <w:b/>
          <w:bCs/>
        </w:rPr>
        <w:t>6</w:t>
      </w:r>
      <w:r w:rsidR="001E4D8A">
        <w:rPr>
          <w:b/>
          <w:bCs/>
        </w:rPr>
        <w:t>5.0</w:t>
      </w:r>
      <w:r w:rsidRPr="003A32A1">
        <w:rPr>
          <w:b/>
          <w:bCs/>
        </w:rPr>
        <w:t>00,00 (</w:t>
      </w:r>
      <w:r w:rsidR="00DC13C5">
        <w:rPr>
          <w:b/>
          <w:bCs/>
        </w:rPr>
        <w:t>Sessenta e Cinco</w:t>
      </w:r>
      <w:r w:rsidR="001E4D8A">
        <w:rPr>
          <w:b/>
          <w:bCs/>
        </w:rPr>
        <w:t xml:space="preserve"> </w:t>
      </w:r>
      <w:r w:rsidRPr="003A32A1">
        <w:rPr>
          <w:b/>
          <w:bCs/>
        </w:rPr>
        <w:t>Mil Reais).</w:t>
      </w:r>
    </w:p>
    <w:p w14:paraId="37D49095" w14:textId="77777777" w:rsidR="003A32A1" w:rsidRPr="00A11BCF" w:rsidRDefault="003A32A1" w:rsidP="00A11BCF">
      <w:pPr>
        <w:spacing w:after="120"/>
        <w:ind w:firstLine="709"/>
        <w:contextualSpacing/>
      </w:pPr>
    </w:p>
    <w:p w14:paraId="56259727" w14:textId="170C041A" w:rsidR="00A11BCF" w:rsidRPr="004246E0" w:rsidRDefault="00A11BCF" w:rsidP="00A11BCF">
      <w:pPr>
        <w:pStyle w:val="PargrafodaLista"/>
        <w:numPr>
          <w:ilvl w:val="0"/>
          <w:numId w:val="4"/>
        </w:numPr>
        <w:spacing w:after="200" w:line="276" w:lineRule="auto"/>
        <w:jc w:val="left"/>
        <w:rPr>
          <w:b/>
        </w:rPr>
      </w:pPr>
      <w:r w:rsidRPr="004246E0">
        <w:rPr>
          <w:b/>
        </w:rPr>
        <w:t>Dados Bancários:</w:t>
      </w:r>
    </w:p>
    <w:p w14:paraId="7B24946C" w14:textId="77777777" w:rsidR="00A11BCF" w:rsidRDefault="00A11BCF" w:rsidP="00A11BCF">
      <w:pPr>
        <w:pStyle w:val="PargrafodaLista"/>
        <w:numPr>
          <w:ilvl w:val="1"/>
          <w:numId w:val="4"/>
        </w:numPr>
        <w:spacing w:after="200" w:line="276" w:lineRule="auto"/>
        <w:jc w:val="left"/>
      </w:pPr>
      <w:r>
        <w:t>Banco Santander</w:t>
      </w:r>
    </w:p>
    <w:p w14:paraId="455EEA98" w14:textId="77777777" w:rsidR="00A11BCF" w:rsidRDefault="00A11BCF" w:rsidP="00A11BCF">
      <w:pPr>
        <w:pStyle w:val="PargrafodaLista"/>
        <w:numPr>
          <w:ilvl w:val="2"/>
          <w:numId w:val="4"/>
        </w:numPr>
        <w:spacing w:after="200" w:line="276" w:lineRule="auto"/>
        <w:jc w:val="left"/>
      </w:pPr>
      <w:r>
        <w:t xml:space="preserve">Conta: </w:t>
      </w:r>
      <w:r w:rsidRPr="004246E0">
        <w:t>130010364</w:t>
      </w:r>
    </w:p>
    <w:p w14:paraId="655AB0B1" w14:textId="77777777" w:rsidR="00A11BCF" w:rsidRDefault="00A11BCF" w:rsidP="00A11BCF">
      <w:pPr>
        <w:pStyle w:val="PargrafodaLista"/>
        <w:numPr>
          <w:ilvl w:val="2"/>
          <w:numId w:val="4"/>
        </w:numPr>
        <w:spacing w:after="200" w:line="276" w:lineRule="auto"/>
        <w:jc w:val="left"/>
      </w:pPr>
      <w:r>
        <w:t>Agência: 1014</w:t>
      </w:r>
    </w:p>
    <w:p w14:paraId="74186CC9" w14:textId="77777777" w:rsidR="00D053E4" w:rsidRDefault="00D053E4" w:rsidP="00D053E4">
      <w:pPr>
        <w:spacing w:after="120"/>
        <w:ind w:firstLine="709"/>
        <w:contextualSpacing/>
      </w:pPr>
    </w:p>
    <w:p w14:paraId="68125839" w14:textId="00782115" w:rsidR="003B7588" w:rsidRDefault="003B7588">
      <w:pPr>
        <w:spacing w:after="0" w:line="240" w:lineRule="auto"/>
        <w:jc w:val="left"/>
      </w:pPr>
      <w:r>
        <w:br w:type="page"/>
      </w:r>
    </w:p>
    <w:p w14:paraId="1B99CDA5" w14:textId="77777777" w:rsidR="00D053E4" w:rsidRDefault="00D053E4" w:rsidP="00D053E4">
      <w:pPr>
        <w:spacing w:after="120"/>
        <w:ind w:firstLine="709"/>
        <w:contextualSpacing/>
      </w:pPr>
    </w:p>
    <w:p w14:paraId="22CF70A1" w14:textId="6EE85D71" w:rsidR="00D053E4" w:rsidRPr="00D94346" w:rsidRDefault="00D053E4" w:rsidP="009D529C">
      <w:pPr>
        <w:pStyle w:val="PargrafodaLista"/>
        <w:numPr>
          <w:ilvl w:val="0"/>
          <w:numId w:val="1"/>
        </w:numPr>
        <w:spacing w:after="120"/>
        <w:ind w:left="0" w:firstLine="709"/>
        <w:outlineLvl w:val="0"/>
        <w:rPr>
          <w:sz w:val="28"/>
          <w:szCs w:val="28"/>
        </w:rPr>
      </w:pPr>
      <w:bookmarkStart w:id="7" w:name="_Toc11765183"/>
      <w:r>
        <w:rPr>
          <w:sz w:val="28"/>
          <w:szCs w:val="28"/>
        </w:rPr>
        <w:t>Referências</w:t>
      </w:r>
      <w:bookmarkEnd w:id="7"/>
    </w:p>
    <w:p w14:paraId="396D6588" w14:textId="77777777" w:rsidR="00D053E4" w:rsidRDefault="00D053E4" w:rsidP="00D053E4">
      <w:pPr>
        <w:spacing w:after="120"/>
        <w:contextualSpacing/>
      </w:pPr>
    </w:p>
    <w:p w14:paraId="6D918788" w14:textId="77777777" w:rsidR="00D053E4" w:rsidRDefault="00D053E4" w:rsidP="003A32A1">
      <w:pPr>
        <w:spacing w:after="120"/>
        <w:ind w:firstLine="709"/>
        <w:contextualSpacing/>
      </w:pPr>
      <w:r>
        <w:t xml:space="preserve">CODEM (2011). </w:t>
      </w:r>
      <w:r w:rsidRPr="00D053E4">
        <w:rPr>
          <w:b/>
          <w:bCs/>
        </w:rPr>
        <w:t>Maringá 2030</w:t>
      </w:r>
      <w:r>
        <w:t>. CODEM</w:t>
      </w:r>
    </w:p>
    <w:p w14:paraId="3FEB02AF" w14:textId="11ABCFDA" w:rsidR="00295AE4" w:rsidRDefault="00295AE4" w:rsidP="003A32A1">
      <w:pPr>
        <w:spacing w:after="120"/>
        <w:ind w:firstLine="709"/>
        <w:contextualSpacing/>
      </w:pPr>
      <w:r>
        <w:t xml:space="preserve">FNEM </w:t>
      </w:r>
      <w:r w:rsidR="000507EA">
        <w:t xml:space="preserve">- Fórum Nacional de Entidades Metropolitanas </w:t>
      </w:r>
      <w:r>
        <w:t xml:space="preserve">(2018). </w:t>
      </w:r>
      <w:r w:rsidRPr="00295AE4">
        <w:rPr>
          <w:b/>
          <w:bCs/>
        </w:rPr>
        <w:t xml:space="preserve">Região Metropolitana de Maringá (PR). </w:t>
      </w:r>
      <w:r>
        <w:t xml:space="preserve">Disponível em: </w:t>
      </w:r>
      <w:r w:rsidRPr="00295AE4">
        <w:t>http://fnembrasil.org/regiao-metropolitana-de-maringa-pr/</w:t>
      </w:r>
    </w:p>
    <w:p w14:paraId="19C6C35F" w14:textId="2222FC05" w:rsidR="00D053E4" w:rsidRDefault="00D053E4" w:rsidP="003A32A1">
      <w:pPr>
        <w:spacing w:after="120"/>
        <w:ind w:firstLine="709"/>
        <w:contextualSpacing/>
      </w:pPr>
      <w:r>
        <w:t xml:space="preserve">Grupo Maringá de Comunicação (2019). </w:t>
      </w:r>
      <w:r w:rsidRPr="00D053E4">
        <w:rPr>
          <w:b/>
          <w:bCs/>
        </w:rPr>
        <w:t>Anuário de Economia 2018-2019: a grande região de Maringá</w:t>
      </w:r>
      <w:r>
        <w:t>.</w:t>
      </w:r>
    </w:p>
    <w:p w14:paraId="15F157D5" w14:textId="4912759E" w:rsidR="00295AE4" w:rsidRDefault="00295AE4" w:rsidP="003A32A1">
      <w:pPr>
        <w:spacing w:after="120"/>
        <w:ind w:firstLine="709"/>
        <w:contextualSpacing/>
      </w:pPr>
      <w:r>
        <w:t xml:space="preserve">IBGE (2008). </w:t>
      </w:r>
      <w:r w:rsidRPr="00295AE4">
        <w:rPr>
          <w:b/>
          <w:bCs/>
        </w:rPr>
        <w:t xml:space="preserve">Regiões de Influência das Cidades </w:t>
      </w:r>
      <w:r>
        <w:rPr>
          <w:b/>
          <w:bCs/>
        </w:rPr>
        <w:t>–</w:t>
      </w:r>
      <w:r w:rsidRPr="00295AE4">
        <w:rPr>
          <w:b/>
          <w:bCs/>
        </w:rPr>
        <w:t xml:space="preserve"> REGIC</w:t>
      </w:r>
      <w:r>
        <w:t xml:space="preserve">. Disponível em: </w:t>
      </w:r>
      <w:r w:rsidRPr="00295AE4">
        <w:t>https://www.ibge.gov.br/geociencias/cartas-e-mapas/redes-geograficas/15798-regioes-de-influencia-das-cidades.html?=&amp;t=o-que-e</w:t>
      </w:r>
    </w:p>
    <w:p w14:paraId="6437083C" w14:textId="4FB51C1A" w:rsidR="00B77483" w:rsidRDefault="000507EA" w:rsidP="000507EA">
      <w:pPr>
        <w:spacing w:after="120"/>
        <w:ind w:firstLine="709"/>
        <w:contextualSpacing/>
      </w:pPr>
      <w:r>
        <w:t xml:space="preserve">PAIVA, C. A. (2013). Fundamentos da Análise e do Planejamento de Economias Regionais. Foz do Iguaçu: Editora Parque Itaipu. </w:t>
      </w:r>
      <w:proofErr w:type="spellStart"/>
      <w:r>
        <w:t>Disp</w:t>
      </w:r>
      <w:proofErr w:type="spellEnd"/>
      <w:r>
        <w:t>. Em http://www.pti.org.br/sites/default/files/fundamentos_da_analise_e_do_planejamento_1.pdf</w:t>
      </w:r>
    </w:p>
    <w:p w14:paraId="0996FD02" w14:textId="6B02530E" w:rsidR="00D053E4" w:rsidRDefault="00295AE4" w:rsidP="003A32A1">
      <w:pPr>
        <w:spacing w:after="120"/>
        <w:ind w:firstLine="709"/>
        <w:contextualSpacing/>
      </w:pPr>
      <w:r>
        <w:t>P</w:t>
      </w:r>
      <w:r w:rsidR="00D053E4">
        <w:t xml:space="preserve">WC/CODEM (2017). </w:t>
      </w:r>
      <w:r w:rsidR="00D053E4" w:rsidRPr="00D053E4">
        <w:rPr>
          <w:b/>
          <w:bCs/>
        </w:rPr>
        <w:t>Maringá 2047 - Uma visão de futuro</w:t>
      </w:r>
      <w:r w:rsidR="00D053E4">
        <w:t>. PWC</w:t>
      </w:r>
    </w:p>
    <w:p w14:paraId="2C8B2751" w14:textId="41164CA8" w:rsidR="00D053E4" w:rsidRPr="00B51AA6" w:rsidRDefault="00D053E4" w:rsidP="003A32A1">
      <w:pPr>
        <w:spacing w:after="120"/>
        <w:ind w:firstLine="709"/>
        <w:contextualSpacing/>
      </w:pPr>
      <w:r>
        <w:t>Silva, J.</w:t>
      </w:r>
      <w:r w:rsidR="000507EA">
        <w:t xml:space="preserve"> </w:t>
      </w:r>
      <w:r>
        <w:t xml:space="preserve">A. </w:t>
      </w:r>
      <w:r w:rsidR="000507EA">
        <w:t xml:space="preserve">(2008). </w:t>
      </w:r>
      <w:r w:rsidRPr="00D053E4">
        <w:rPr>
          <w:b/>
          <w:bCs/>
        </w:rPr>
        <w:t xml:space="preserve">A Influência do Associativismo no Espaço Urbano em Dois Municípios da Região Metropolitana de Maringá – os casos de </w:t>
      </w:r>
      <w:proofErr w:type="spellStart"/>
      <w:r w:rsidRPr="00D053E4">
        <w:rPr>
          <w:b/>
          <w:bCs/>
        </w:rPr>
        <w:t>sarandi</w:t>
      </w:r>
      <w:proofErr w:type="spellEnd"/>
      <w:r w:rsidRPr="00D053E4">
        <w:rPr>
          <w:b/>
          <w:bCs/>
        </w:rPr>
        <w:t xml:space="preserve"> e </w:t>
      </w:r>
      <w:proofErr w:type="spellStart"/>
      <w:r w:rsidRPr="00D053E4">
        <w:rPr>
          <w:b/>
          <w:bCs/>
        </w:rPr>
        <w:t>paiçandu</w:t>
      </w:r>
      <w:proofErr w:type="spellEnd"/>
      <w:r w:rsidRPr="00D053E4">
        <w:rPr>
          <w:b/>
          <w:bCs/>
        </w:rPr>
        <w:t xml:space="preserve"> – PR</w:t>
      </w:r>
      <w:r>
        <w:t>. Mestrado em Geografia/UEM.</w:t>
      </w:r>
    </w:p>
    <w:sectPr w:rsidR="00D053E4" w:rsidRPr="00B51AA6" w:rsidSect="00BE1ABB">
      <w:headerReference w:type="default" r:id="rId15"/>
      <w:footerReference w:type="default" r:id="rId16"/>
      <w:pgSz w:w="11900" w:h="16840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9CC8D" w14:textId="77777777" w:rsidR="00761F35" w:rsidRDefault="00761F35" w:rsidP="00B95D03">
      <w:pPr>
        <w:spacing w:after="0" w:line="240" w:lineRule="auto"/>
      </w:pPr>
      <w:r>
        <w:separator/>
      </w:r>
    </w:p>
  </w:endnote>
  <w:endnote w:type="continuationSeparator" w:id="0">
    <w:p w14:paraId="5FF780D6" w14:textId="77777777" w:rsidR="00761F35" w:rsidRDefault="00761F35" w:rsidP="00B95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847DC" w14:textId="4A9B7634" w:rsidR="00DC13C5" w:rsidRPr="00823551" w:rsidRDefault="00DC13C5" w:rsidP="00A11BCF">
    <w:pPr>
      <w:pStyle w:val="Cabealho"/>
      <w:ind w:left="-851"/>
      <w:jc w:val="center"/>
      <w:rPr>
        <w:rFonts w:ascii="Arial" w:hAnsi="Arial" w:cs="Arial"/>
        <w:b/>
        <w:sz w:val="20"/>
        <w:szCs w:val="20"/>
      </w:rPr>
    </w:pPr>
    <w:r w:rsidRPr="00823551">
      <w:rPr>
        <w:rFonts w:ascii="Arial" w:hAnsi="Arial" w:cs="Arial"/>
        <w:b/>
        <w:sz w:val="20"/>
        <w:szCs w:val="20"/>
      </w:rPr>
      <w:t>Paradoxo Consultoria Ltda</w:t>
    </w:r>
    <w:r>
      <w:rPr>
        <w:rFonts w:ascii="Arial" w:hAnsi="Arial" w:cs="Arial"/>
        <w:b/>
        <w:sz w:val="20"/>
        <w:szCs w:val="20"/>
      </w:rPr>
      <w:t>. - CNPJ: nº 18.649.429/0001-70</w:t>
    </w:r>
  </w:p>
  <w:p w14:paraId="1279872F" w14:textId="6A35ECFC" w:rsidR="00DC13C5" w:rsidRDefault="00DC13C5" w:rsidP="00A11BCF">
    <w:pPr>
      <w:pStyle w:val="Cabealho"/>
      <w:ind w:left="-851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Rua Jacinto Gomes, nº 223, Bairro Santana. Porto Alegre – RS. Fone: 51 3219-0004</w:t>
    </w:r>
  </w:p>
  <w:p w14:paraId="364C74D7" w14:textId="5B43DBC2" w:rsidR="00DC13C5" w:rsidRDefault="00761F35" w:rsidP="00A11BCF">
    <w:pPr>
      <w:pStyle w:val="Rodap"/>
      <w:jc w:val="center"/>
    </w:pPr>
    <w:hyperlink r:id="rId1" w:history="1">
      <w:r w:rsidR="00DC13C5" w:rsidRPr="007B7599">
        <w:rPr>
          <w:rStyle w:val="Hyperlink"/>
          <w:rFonts w:ascii="Arial" w:hAnsi="Arial" w:cs="Arial"/>
          <w:sz w:val="20"/>
          <w:szCs w:val="20"/>
        </w:rPr>
        <w:t>http://www.paradoxoconsultoria.com.br/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589A86" w14:textId="77777777" w:rsidR="00761F35" w:rsidRDefault="00761F35" w:rsidP="00B95D03">
      <w:pPr>
        <w:spacing w:after="0" w:line="240" w:lineRule="auto"/>
      </w:pPr>
      <w:r>
        <w:separator/>
      </w:r>
    </w:p>
  </w:footnote>
  <w:footnote w:type="continuationSeparator" w:id="0">
    <w:p w14:paraId="61CCE517" w14:textId="77777777" w:rsidR="00761F35" w:rsidRDefault="00761F35" w:rsidP="00B95D03">
      <w:pPr>
        <w:spacing w:after="0" w:line="240" w:lineRule="auto"/>
      </w:pPr>
      <w:r>
        <w:continuationSeparator/>
      </w:r>
    </w:p>
  </w:footnote>
  <w:footnote w:id="1">
    <w:p w14:paraId="1C04721A" w14:textId="60FFFDA1" w:rsidR="00DC13C5" w:rsidRPr="00C8601A" w:rsidRDefault="00DC13C5">
      <w:pPr>
        <w:pStyle w:val="Textodenotaderodap"/>
        <w:rPr>
          <w:sz w:val="20"/>
          <w:szCs w:val="20"/>
        </w:rPr>
      </w:pPr>
      <w:r w:rsidRPr="00C8601A">
        <w:rPr>
          <w:rStyle w:val="Refdenotaderodap"/>
          <w:sz w:val="20"/>
          <w:szCs w:val="20"/>
        </w:rPr>
        <w:footnoteRef/>
      </w:r>
      <w:r w:rsidRPr="00C8601A">
        <w:rPr>
          <w:sz w:val="20"/>
          <w:szCs w:val="20"/>
        </w:rPr>
        <w:t xml:space="preserve"> Na realidade, a região de referência não precisa ser o Paraná. Ela deve, apenas ser uma região maior do que Maringá, da qual o município faça parte. Pode ser o Brasil, a Região Sul do Brasil, a região Norte do Paraná, etc. Como regra geral, contudo, utiliza-se a Unidade da Federação na qual o município está inserido. </w:t>
      </w:r>
    </w:p>
  </w:footnote>
  <w:footnote w:id="2">
    <w:p w14:paraId="5CF6BA44" w14:textId="0A6C75A8" w:rsidR="00DC13C5" w:rsidRPr="00C8601A" w:rsidRDefault="00DC13C5">
      <w:pPr>
        <w:pStyle w:val="Textodenotaderodap"/>
        <w:rPr>
          <w:sz w:val="20"/>
          <w:szCs w:val="20"/>
        </w:rPr>
      </w:pPr>
      <w:r w:rsidRPr="00C8601A">
        <w:rPr>
          <w:rStyle w:val="Refdenotaderodap"/>
          <w:sz w:val="20"/>
          <w:szCs w:val="20"/>
        </w:rPr>
        <w:footnoteRef/>
      </w:r>
      <w:r w:rsidRPr="00C8601A">
        <w:rPr>
          <w:sz w:val="20"/>
          <w:szCs w:val="20"/>
        </w:rPr>
        <w:t xml:space="preserve"> Duas observações, aqui, são cruciais: 1) a demanda externa a uma localidade ou região usualmente </w:t>
      </w:r>
      <w:r w:rsidRPr="00C8601A">
        <w:rPr>
          <w:b/>
          <w:sz w:val="20"/>
          <w:szCs w:val="20"/>
        </w:rPr>
        <w:t>não</w:t>
      </w:r>
      <w:r w:rsidRPr="00C8601A">
        <w:rPr>
          <w:sz w:val="20"/>
          <w:szCs w:val="20"/>
        </w:rPr>
        <w:t xml:space="preserve"> é outra nação, mas, tão somente, outra região ou localidade que lhe é próxima mas situada além de suas fronteiras políticas; 2) mesmo que o produto da atividade sob análise seja parcialmente voltada ao mercado externo do Paraná ou do Brasil (como a produção de soja ou proteína animal, por exemplo) as conclusões acima </w:t>
      </w:r>
      <w:r w:rsidRPr="00C8601A">
        <w:rPr>
          <w:b/>
          <w:sz w:val="20"/>
          <w:szCs w:val="20"/>
        </w:rPr>
        <w:t>não</w:t>
      </w:r>
      <w:r w:rsidRPr="00C8601A">
        <w:rPr>
          <w:sz w:val="20"/>
          <w:szCs w:val="20"/>
        </w:rPr>
        <w:t xml:space="preserve"> sofrem qualquer alteração: um QL acima da unidade revela que o território sob análise é “ainda mais exportador” do que média da região de referência. </w:t>
      </w:r>
    </w:p>
  </w:footnote>
  <w:footnote w:id="3">
    <w:p w14:paraId="2E38AA91" w14:textId="7B534ECB" w:rsidR="00DC13C5" w:rsidRPr="00C8601A" w:rsidRDefault="00DC13C5">
      <w:pPr>
        <w:pStyle w:val="Textodenotaderodap"/>
        <w:rPr>
          <w:sz w:val="20"/>
          <w:szCs w:val="20"/>
        </w:rPr>
      </w:pPr>
      <w:r w:rsidRPr="00C8601A">
        <w:rPr>
          <w:rStyle w:val="Refdenotaderodap"/>
          <w:sz w:val="20"/>
          <w:szCs w:val="20"/>
        </w:rPr>
        <w:footnoteRef/>
      </w:r>
      <w:r w:rsidRPr="00C8601A">
        <w:rPr>
          <w:sz w:val="20"/>
          <w:szCs w:val="20"/>
        </w:rPr>
        <w:t xml:space="preserve"> Importante observar que nem sempre uma baixa taxa de ocupação aparente é indicador de “cidade dormitório” e deslocamento da população economicamente ativa para ocupações situadas em outros territórios. É preciso lembrar que estamos operando com dados da RAIS, que contabilizam apenas o emprego formal. E o grau de formalização é muito heterogêneo entre os distintos setores de atividades. Municípios essencialmente rurais e agrícolas, cujas atividades do núcleo urbano estão centradas no comércio varejista, sempre apresentam (malgrado a possibilidade de raríssimas exceções) taxas aparentes de ocupação muito inferiores à média de territórios mais amplos. Esta parece ser a razão central da baixíssima taxa de ocupação aparente de Ourizona, por exemplo. </w:t>
      </w:r>
    </w:p>
  </w:footnote>
  <w:footnote w:id="4">
    <w:p w14:paraId="3242B143" w14:textId="77777777" w:rsidR="00DC13C5" w:rsidRPr="00C8601A" w:rsidRDefault="00DC13C5" w:rsidP="00A45DB1">
      <w:pPr>
        <w:pStyle w:val="Textodenotaderodap"/>
        <w:rPr>
          <w:sz w:val="20"/>
          <w:szCs w:val="20"/>
        </w:rPr>
      </w:pPr>
      <w:r w:rsidRPr="00C8601A">
        <w:rPr>
          <w:rStyle w:val="Refdenotaderodap"/>
          <w:sz w:val="20"/>
          <w:szCs w:val="20"/>
        </w:rPr>
        <w:footnoteRef/>
      </w:r>
      <w:r w:rsidRPr="00C8601A">
        <w:rPr>
          <w:sz w:val="20"/>
          <w:szCs w:val="20"/>
        </w:rPr>
        <w:t xml:space="preserve"> A exportação é sempre a venda para fora do território. A exportação de uma região é a venda para outras regiões do país</w:t>
      </w:r>
      <w:r>
        <w:rPr>
          <w:sz w:val="20"/>
          <w:szCs w:val="20"/>
        </w:rPr>
        <w:t xml:space="preserve">. Apenas </w:t>
      </w:r>
      <w:r w:rsidRPr="00C8601A">
        <w:rPr>
          <w:sz w:val="20"/>
          <w:szCs w:val="20"/>
        </w:rPr>
        <w:t>eventualmen</w:t>
      </w:r>
      <w:r>
        <w:rPr>
          <w:sz w:val="20"/>
          <w:szCs w:val="20"/>
        </w:rPr>
        <w:t>te (</w:t>
      </w:r>
      <w:r w:rsidRPr="00C8601A">
        <w:rPr>
          <w:sz w:val="20"/>
          <w:szCs w:val="20"/>
        </w:rPr>
        <w:t>mas não necessariamente</w:t>
      </w:r>
      <w:r>
        <w:rPr>
          <w:sz w:val="20"/>
          <w:szCs w:val="20"/>
        </w:rPr>
        <w:t>!)</w:t>
      </w:r>
      <w:r w:rsidRPr="00C8601A">
        <w:rPr>
          <w:sz w:val="20"/>
          <w:szCs w:val="20"/>
        </w:rPr>
        <w:t xml:space="preserve"> para outros países.</w:t>
      </w:r>
    </w:p>
  </w:footnote>
  <w:footnote w:id="5">
    <w:p w14:paraId="1F84323E" w14:textId="64F79B32" w:rsidR="00DC13C5" w:rsidRPr="00C8601A" w:rsidRDefault="00DC13C5">
      <w:pPr>
        <w:pStyle w:val="Textodenotaderodap"/>
        <w:rPr>
          <w:sz w:val="20"/>
          <w:szCs w:val="20"/>
        </w:rPr>
      </w:pPr>
      <w:r w:rsidRPr="00C8601A">
        <w:rPr>
          <w:rStyle w:val="Refdenotaderodap"/>
          <w:sz w:val="20"/>
          <w:szCs w:val="20"/>
        </w:rPr>
        <w:footnoteRef/>
      </w:r>
      <w:r w:rsidRPr="00C8601A">
        <w:rPr>
          <w:sz w:val="20"/>
          <w:szCs w:val="20"/>
        </w:rPr>
        <w:t xml:space="preserve"> Esta é uma hipótese simplificadora bastante forte. Mas ela não é condição para o resultado que queremos demonstrar. Para os interessados em detalhar esta questão, recomendamos Paiva, 2013 (em especial o segundo e terceiro capítulos).</w:t>
      </w:r>
    </w:p>
  </w:footnote>
  <w:footnote w:id="6">
    <w:p w14:paraId="25AADDCB" w14:textId="653EF092" w:rsidR="00DC13C5" w:rsidRPr="00482711" w:rsidRDefault="00DC13C5">
      <w:pPr>
        <w:pStyle w:val="Textodenotaderodap"/>
        <w:rPr>
          <w:sz w:val="20"/>
          <w:szCs w:val="20"/>
        </w:rPr>
      </w:pPr>
      <w:r w:rsidRPr="00C8601A">
        <w:rPr>
          <w:rStyle w:val="Refdenotaderodap"/>
          <w:sz w:val="20"/>
          <w:szCs w:val="20"/>
        </w:rPr>
        <w:footnoteRef/>
      </w:r>
      <w:r w:rsidRPr="00C8601A">
        <w:rPr>
          <w:sz w:val="20"/>
          <w:szCs w:val="20"/>
        </w:rPr>
        <w:t xml:space="preserve"> Na verdade, a equação </w:t>
      </w:r>
      <w:r>
        <w:rPr>
          <w:sz w:val="20"/>
          <w:szCs w:val="20"/>
        </w:rPr>
        <w:t xml:space="preserve">“g” </w:t>
      </w:r>
      <w:r w:rsidRPr="00C8601A">
        <w:rPr>
          <w:sz w:val="20"/>
          <w:szCs w:val="20"/>
        </w:rPr>
        <w:t>também nos</w:t>
      </w:r>
      <w:r>
        <w:rPr>
          <w:sz w:val="20"/>
          <w:szCs w:val="20"/>
        </w:rPr>
        <w:t xml:space="preserve"> diz que a renda pode crescer caso</w:t>
      </w:r>
      <w:r w:rsidRPr="00C8601A">
        <w:rPr>
          <w:sz w:val="20"/>
          <w:szCs w:val="20"/>
        </w:rPr>
        <w:t xml:space="preserve"> “c” – </w:t>
      </w:r>
      <w:r w:rsidRPr="00C8601A">
        <w:rPr>
          <w:b/>
          <w:sz w:val="20"/>
          <w:szCs w:val="20"/>
        </w:rPr>
        <w:t xml:space="preserve">a propensão a consumir produtos </w:t>
      </w:r>
      <w:r w:rsidRPr="00C8601A">
        <w:rPr>
          <w:b/>
          <w:sz w:val="20"/>
          <w:szCs w:val="20"/>
          <w:u w:val="single"/>
        </w:rPr>
        <w:t>em Maringá</w:t>
      </w:r>
      <w:r w:rsidRPr="00C8601A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cresça</w:t>
      </w:r>
      <w:r w:rsidRPr="00C8601A">
        <w:rPr>
          <w:sz w:val="20"/>
          <w:szCs w:val="20"/>
        </w:rPr>
        <w:t>. Mas, neste caso, o crescimento da renda em Maringá seria função da diminuição do consumo (e da renda) nos demais municípios.</w:t>
      </w:r>
      <w:r>
        <w:rPr>
          <w:sz w:val="20"/>
          <w:szCs w:val="20"/>
        </w:rPr>
        <w:t xml:space="preserve"> E</w:t>
      </w:r>
      <w:r w:rsidRPr="00C8601A">
        <w:rPr>
          <w:sz w:val="20"/>
          <w:szCs w:val="20"/>
        </w:rPr>
        <w:t xml:space="preserve">ste </w:t>
      </w:r>
      <w:r>
        <w:rPr>
          <w:sz w:val="20"/>
          <w:szCs w:val="20"/>
        </w:rPr>
        <w:t>crescimento não é</w:t>
      </w:r>
      <w:r w:rsidRPr="00C8601A">
        <w:rPr>
          <w:sz w:val="20"/>
          <w:szCs w:val="20"/>
        </w:rPr>
        <w:t xml:space="preserve"> sustentável</w:t>
      </w:r>
      <w:r>
        <w:rPr>
          <w:sz w:val="20"/>
          <w:szCs w:val="20"/>
        </w:rPr>
        <w:t>.</w:t>
      </w:r>
    </w:p>
  </w:footnote>
  <w:footnote w:id="7">
    <w:p w14:paraId="1EC563D2" w14:textId="6608E0E4" w:rsidR="00DC13C5" w:rsidRDefault="00DC13C5">
      <w:pPr>
        <w:pStyle w:val="Textodenotaderodap"/>
      </w:pPr>
      <w:r w:rsidRPr="00482711">
        <w:rPr>
          <w:rStyle w:val="Refdenotaderodap"/>
          <w:sz w:val="20"/>
          <w:szCs w:val="20"/>
        </w:rPr>
        <w:footnoteRef/>
      </w:r>
      <w:r w:rsidRPr="00482711">
        <w:rPr>
          <w:sz w:val="20"/>
          <w:szCs w:val="20"/>
        </w:rPr>
        <w:t xml:space="preserve"> </w:t>
      </w:r>
      <w:r>
        <w:rPr>
          <w:sz w:val="20"/>
          <w:szCs w:val="20"/>
        </w:rPr>
        <w:t>A despe</w:t>
      </w:r>
      <w:r w:rsidRPr="00482711">
        <w:rPr>
          <w:sz w:val="20"/>
          <w:szCs w:val="20"/>
        </w:rPr>
        <w:t xml:space="preserve">ito de </w:t>
      </w:r>
      <w:r>
        <w:rPr>
          <w:sz w:val="20"/>
          <w:szCs w:val="20"/>
        </w:rPr>
        <w:t>nossos esforços de pesqu</w:t>
      </w:r>
      <w:r w:rsidRPr="00482711">
        <w:rPr>
          <w:sz w:val="20"/>
          <w:szCs w:val="20"/>
        </w:rPr>
        <w:t>isa</w:t>
      </w:r>
      <w:r>
        <w:rPr>
          <w:sz w:val="20"/>
          <w:szCs w:val="20"/>
        </w:rPr>
        <w:t xml:space="preserve">, </w:t>
      </w:r>
      <w:r w:rsidRPr="00482711">
        <w:rPr>
          <w:sz w:val="20"/>
          <w:szCs w:val="20"/>
        </w:rPr>
        <w:t>não alcançamos encontrar, nem nesta publicação, nem em qualquer das outras que tomamos por referência,</w:t>
      </w:r>
      <w:r>
        <w:rPr>
          <w:sz w:val="20"/>
          <w:szCs w:val="20"/>
        </w:rPr>
        <w:t xml:space="preserve"> os fundamentos da proposta de Regionalização da GRM.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814A1" w14:textId="488D4A01" w:rsidR="00DC13C5" w:rsidRPr="00A11BCF" w:rsidRDefault="00DC13C5" w:rsidP="00A11BCF">
    <w:pPr>
      <w:pStyle w:val="Cabealho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val="en-US"/>
      </w:rPr>
      <w:drawing>
        <wp:inline distT="0" distB="0" distL="0" distR="0" wp14:anchorId="3B1844D3" wp14:editId="2D151ABC">
          <wp:extent cx="4013200" cy="760954"/>
          <wp:effectExtent l="0" t="0" r="6350" b="127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4221" cy="761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B1ECA"/>
    <w:multiLevelType w:val="hybridMultilevel"/>
    <w:tmpl w:val="56F0C0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87EEB"/>
    <w:multiLevelType w:val="hybridMultilevel"/>
    <w:tmpl w:val="873A59FE"/>
    <w:lvl w:ilvl="0" w:tplc="976A5A1E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E586002"/>
    <w:multiLevelType w:val="hybridMultilevel"/>
    <w:tmpl w:val="21D4107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CC1239"/>
    <w:multiLevelType w:val="hybridMultilevel"/>
    <w:tmpl w:val="CBC627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73FB0"/>
    <w:multiLevelType w:val="hybridMultilevel"/>
    <w:tmpl w:val="1DB291C4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CB5EA1"/>
    <w:multiLevelType w:val="hybridMultilevel"/>
    <w:tmpl w:val="8684F722"/>
    <w:lvl w:ilvl="0" w:tplc="7FD8E158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FCE61BB"/>
    <w:multiLevelType w:val="hybridMultilevel"/>
    <w:tmpl w:val="C234C2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A2D18"/>
    <w:multiLevelType w:val="hybridMultilevel"/>
    <w:tmpl w:val="F6F4912C"/>
    <w:lvl w:ilvl="0" w:tplc="424CB1A0">
      <w:start w:val="5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4FE2857"/>
    <w:multiLevelType w:val="hybridMultilevel"/>
    <w:tmpl w:val="AB50C8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BA6457"/>
    <w:multiLevelType w:val="hybridMultilevel"/>
    <w:tmpl w:val="3DCC0AF8"/>
    <w:lvl w:ilvl="0" w:tplc="0416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0DE4A8C"/>
    <w:multiLevelType w:val="multilevel"/>
    <w:tmpl w:val="3B0217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4"/>
  </w:num>
  <w:num w:numId="7">
    <w:abstractNumId w:val="0"/>
  </w:num>
  <w:num w:numId="8">
    <w:abstractNumId w:val="10"/>
  </w:num>
  <w:num w:numId="9">
    <w:abstractNumId w:val="1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6029"/>
    <w:rsid w:val="00012E0A"/>
    <w:rsid w:val="00021461"/>
    <w:rsid w:val="000507EA"/>
    <w:rsid w:val="00065894"/>
    <w:rsid w:val="00096D0F"/>
    <w:rsid w:val="000B478E"/>
    <w:rsid w:val="000D6151"/>
    <w:rsid w:val="000E3645"/>
    <w:rsid w:val="001043EB"/>
    <w:rsid w:val="001068A4"/>
    <w:rsid w:val="00137FAE"/>
    <w:rsid w:val="0015367F"/>
    <w:rsid w:val="001766CD"/>
    <w:rsid w:val="001C5714"/>
    <w:rsid w:val="001E4D8A"/>
    <w:rsid w:val="001F77F0"/>
    <w:rsid w:val="00205A67"/>
    <w:rsid w:val="00211B18"/>
    <w:rsid w:val="0022261C"/>
    <w:rsid w:val="00295AE4"/>
    <w:rsid w:val="002C46F4"/>
    <w:rsid w:val="002D0979"/>
    <w:rsid w:val="00322000"/>
    <w:rsid w:val="00324F0E"/>
    <w:rsid w:val="00325FBC"/>
    <w:rsid w:val="00327F9D"/>
    <w:rsid w:val="00331380"/>
    <w:rsid w:val="003514F3"/>
    <w:rsid w:val="00363BC5"/>
    <w:rsid w:val="003A32A1"/>
    <w:rsid w:val="003B7588"/>
    <w:rsid w:val="003F2B30"/>
    <w:rsid w:val="00403B00"/>
    <w:rsid w:val="00426393"/>
    <w:rsid w:val="00437320"/>
    <w:rsid w:val="00460B8C"/>
    <w:rsid w:val="00467BA5"/>
    <w:rsid w:val="0047418D"/>
    <w:rsid w:val="00476E9F"/>
    <w:rsid w:val="00482711"/>
    <w:rsid w:val="004A6D40"/>
    <w:rsid w:val="004B70F8"/>
    <w:rsid w:val="004D1223"/>
    <w:rsid w:val="004D37E2"/>
    <w:rsid w:val="004D613B"/>
    <w:rsid w:val="004E3E7E"/>
    <w:rsid w:val="004F4C13"/>
    <w:rsid w:val="004F7532"/>
    <w:rsid w:val="005144FE"/>
    <w:rsid w:val="00536984"/>
    <w:rsid w:val="005924D7"/>
    <w:rsid w:val="005938B9"/>
    <w:rsid w:val="005947A7"/>
    <w:rsid w:val="00596B06"/>
    <w:rsid w:val="006173A7"/>
    <w:rsid w:val="00626029"/>
    <w:rsid w:val="0067143C"/>
    <w:rsid w:val="0069072B"/>
    <w:rsid w:val="0069376D"/>
    <w:rsid w:val="006D7769"/>
    <w:rsid w:val="006E234E"/>
    <w:rsid w:val="00701234"/>
    <w:rsid w:val="00714601"/>
    <w:rsid w:val="00721A4B"/>
    <w:rsid w:val="00761F35"/>
    <w:rsid w:val="007C1AAD"/>
    <w:rsid w:val="007F04E8"/>
    <w:rsid w:val="007F1FA6"/>
    <w:rsid w:val="00867E17"/>
    <w:rsid w:val="00871230"/>
    <w:rsid w:val="008D1D03"/>
    <w:rsid w:val="008D2F28"/>
    <w:rsid w:val="008E3651"/>
    <w:rsid w:val="008F3465"/>
    <w:rsid w:val="0099007C"/>
    <w:rsid w:val="009D51A5"/>
    <w:rsid w:val="009D529C"/>
    <w:rsid w:val="009D729E"/>
    <w:rsid w:val="009E745D"/>
    <w:rsid w:val="00A11BCF"/>
    <w:rsid w:val="00A45DB1"/>
    <w:rsid w:val="00A53C4A"/>
    <w:rsid w:val="00A634D3"/>
    <w:rsid w:val="00A71DAF"/>
    <w:rsid w:val="00AB02B9"/>
    <w:rsid w:val="00AE2BAE"/>
    <w:rsid w:val="00AE3BE3"/>
    <w:rsid w:val="00AE6CCD"/>
    <w:rsid w:val="00B028EF"/>
    <w:rsid w:val="00B060B9"/>
    <w:rsid w:val="00B33FF5"/>
    <w:rsid w:val="00B351B6"/>
    <w:rsid w:val="00B51AA6"/>
    <w:rsid w:val="00B61D3C"/>
    <w:rsid w:val="00B77483"/>
    <w:rsid w:val="00B80297"/>
    <w:rsid w:val="00B84CB6"/>
    <w:rsid w:val="00B87BEC"/>
    <w:rsid w:val="00B90EC4"/>
    <w:rsid w:val="00B95D03"/>
    <w:rsid w:val="00BA36BF"/>
    <w:rsid w:val="00BE0BAB"/>
    <w:rsid w:val="00BE0E54"/>
    <w:rsid w:val="00BE1ABB"/>
    <w:rsid w:val="00C00E4C"/>
    <w:rsid w:val="00C4086A"/>
    <w:rsid w:val="00C5767D"/>
    <w:rsid w:val="00C576C9"/>
    <w:rsid w:val="00C720C6"/>
    <w:rsid w:val="00C80AC5"/>
    <w:rsid w:val="00C8601A"/>
    <w:rsid w:val="00CB28E0"/>
    <w:rsid w:val="00CC4585"/>
    <w:rsid w:val="00D0049B"/>
    <w:rsid w:val="00D053E4"/>
    <w:rsid w:val="00D17704"/>
    <w:rsid w:val="00D17B38"/>
    <w:rsid w:val="00D30168"/>
    <w:rsid w:val="00D55909"/>
    <w:rsid w:val="00D56354"/>
    <w:rsid w:val="00D61548"/>
    <w:rsid w:val="00D800F3"/>
    <w:rsid w:val="00D94346"/>
    <w:rsid w:val="00D96321"/>
    <w:rsid w:val="00DC13C5"/>
    <w:rsid w:val="00DC71B8"/>
    <w:rsid w:val="00DD1E5C"/>
    <w:rsid w:val="00DE4D5C"/>
    <w:rsid w:val="00E00ED6"/>
    <w:rsid w:val="00E2019F"/>
    <w:rsid w:val="00E22A73"/>
    <w:rsid w:val="00E44873"/>
    <w:rsid w:val="00EB0089"/>
    <w:rsid w:val="00F035C5"/>
    <w:rsid w:val="00F05808"/>
    <w:rsid w:val="00F33773"/>
    <w:rsid w:val="00F42D93"/>
    <w:rsid w:val="00F7376F"/>
    <w:rsid w:val="00FA3453"/>
    <w:rsid w:val="00FB761A"/>
    <w:rsid w:val="00FE002B"/>
    <w:rsid w:val="00FE52EC"/>
    <w:rsid w:val="00FF43C8"/>
    <w:rsid w:val="00FF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5D55FB"/>
  <w14:defaultImageDpi w14:val="300"/>
  <w15:docId w15:val="{51DF1224-E433-428D-9277-2E34215C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F0E"/>
    <w:pPr>
      <w:spacing w:after="240" w:line="360" w:lineRule="auto"/>
      <w:jc w:val="both"/>
    </w:pPr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A11B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2602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907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072B"/>
    <w:rPr>
      <w:rFonts w:ascii="Lucida Grande" w:hAnsi="Lucida Grande" w:cs="Lucida Grande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B95D03"/>
    <w:pPr>
      <w:spacing w:after="0" w:line="240" w:lineRule="auto"/>
    </w:p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95D03"/>
    <w:rPr>
      <w:rFonts w:ascii="Times New Roman" w:hAnsi="Times New Roman"/>
    </w:rPr>
  </w:style>
  <w:style w:type="character" w:styleId="Refdenotaderodap">
    <w:name w:val="footnote reference"/>
    <w:basedOn w:val="Fontepargpadro"/>
    <w:uiPriority w:val="99"/>
    <w:unhideWhenUsed/>
    <w:rsid w:val="00B95D03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A71DAF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11B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1BCF"/>
    <w:rPr>
      <w:rFonts w:ascii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A11B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11BCF"/>
    <w:rPr>
      <w:rFonts w:ascii="Times New Roman" w:hAnsi="Times New Roman"/>
    </w:rPr>
  </w:style>
  <w:style w:type="character" w:customStyle="1" w:styleId="Ttulo1Char">
    <w:name w:val="Título 1 Char"/>
    <w:basedOn w:val="Fontepargpadro"/>
    <w:link w:val="Ttulo1"/>
    <w:uiPriority w:val="9"/>
    <w:rsid w:val="00A11BC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11BCF"/>
    <w:pPr>
      <w:spacing w:line="259" w:lineRule="auto"/>
      <w:jc w:val="left"/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11BCF"/>
    <w:pPr>
      <w:spacing w:after="100"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B774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32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radoxoconsultoria.com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CBE097-5365-4000-8E06-C765734C3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6705</Words>
  <Characters>36210</Characters>
  <Application>Microsoft Office Word</Application>
  <DocSecurity>0</DocSecurity>
  <Lines>301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Paiva</dc:creator>
  <cp:keywords/>
  <dc:description/>
  <cp:lastModifiedBy>Paradoxo</cp:lastModifiedBy>
  <cp:revision>3</cp:revision>
  <dcterms:created xsi:type="dcterms:W3CDTF">2019-06-19T18:27:00Z</dcterms:created>
  <dcterms:modified xsi:type="dcterms:W3CDTF">2019-06-19T18:29:00Z</dcterms:modified>
</cp:coreProperties>
</file>